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34" w:rsidRDefault="00A32F34" w:rsidP="00A32F34">
      <w:pPr>
        <w:jc w:val="center"/>
        <w:rPr>
          <w:u w:val="single"/>
        </w:rPr>
      </w:pPr>
      <w:proofErr w:type="gramStart"/>
      <w:r>
        <w:rPr>
          <w:u w:val="single"/>
        </w:rPr>
        <w:t>Year 5 Religious Education and World Views – Where can we find guidance about how to live our lives?</w:t>
      </w:r>
      <w:proofErr w:type="gramEnd"/>
    </w:p>
    <w:p w:rsidR="00A32F34" w:rsidRDefault="00A32F34" w:rsidP="00A32F34">
      <w:pPr>
        <w:jc w:val="center"/>
        <w:rPr>
          <w:u w:val="single"/>
        </w:rPr>
      </w:pPr>
      <w:r>
        <w:rPr>
          <w:u w:val="single"/>
        </w:rPr>
        <w:t>Judaism: Do people need laws to guide them?</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A32F34" w:rsidRPr="008D66BB" w:rsidRDefault="009B2F2E" w:rsidP="00A32F34">
            <w:pPr>
              <w:rPr>
                <w:sz w:val="21"/>
                <w:szCs w:val="21"/>
                <w:u w:val="single"/>
              </w:rPr>
            </w:pPr>
            <w:r>
              <w:rPr>
                <w:sz w:val="21"/>
                <w:szCs w:val="21"/>
                <w:u w:val="single"/>
              </w:rPr>
              <w:t>Curriculum Aims:</w:t>
            </w:r>
            <w:r>
              <w:t xml:space="preserve"> </w:t>
            </w:r>
            <w:r w:rsidR="00A32F34">
              <w:t>This unit enables pupils to explore the importance of the Torah to Jewish people as a guide to life and faith.  Pupils will learn that Jewish people attend the synagogue in order to find out more about how to live their lives and to seek guidance from religious leaders.  They will explore how the Torah is respected and honoured through Jewish worship and the way that it is used and handled at the synagogue.  Pupils will then have time to reflect upon how they personally make decisions and who or what can have influence over this.</w:t>
            </w:r>
          </w:p>
          <w:p w:rsidR="009B2F2E" w:rsidRPr="008D66BB" w:rsidRDefault="009B2F2E" w:rsidP="006C406B">
            <w:pPr>
              <w:rPr>
                <w:sz w:val="21"/>
                <w:szCs w:val="21"/>
                <w:u w:val="single"/>
              </w:rPr>
            </w:pPr>
          </w:p>
        </w:tc>
      </w:tr>
      <w:tr w:rsidR="00422028" w:rsidRPr="008D66BB" w:rsidTr="006E1F29">
        <w:tc>
          <w:tcPr>
            <w:tcW w:w="10740" w:type="dxa"/>
          </w:tcPr>
          <w:p w:rsidR="00422028" w:rsidRPr="008D66BB" w:rsidRDefault="00CF57DB" w:rsidP="00A32F34">
            <w:pPr>
              <w:rPr>
                <w:sz w:val="21"/>
                <w:szCs w:val="21"/>
                <w:u w:val="single"/>
              </w:rPr>
            </w:pPr>
            <w:r w:rsidRPr="008D66BB">
              <w:rPr>
                <w:sz w:val="21"/>
                <w:szCs w:val="21"/>
                <w:u w:val="single"/>
              </w:rPr>
              <w:t>Prior Learning:</w:t>
            </w:r>
            <w:r w:rsidR="001203B6" w:rsidRPr="00D174ED">
              <w:rPr>
                <w:sz w:val="21"/>
                <w:szCs w:val="21"/>
              </w:rPr>
              <w:t xml:space="preserve"> </w:t>
            </w:r>
            <w:r w:rsidR="00A32F34">
              <w:t xml:space="preserve">This unit has links with the KS1 unit ‘What aspects of life really matter?’ and pupils will have opportunities for revisiting prior learning on how the Torah was given to Moses.  </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AD5F01">
        <w:trPr>
          <w:trHeight w:val="1427"/>
        </w:trPr>
        <w:tc>
          <w:tcPr>
            <w:tcW w:w="6062" w:type="dxa"/>
          </w:tcPr>
          <w:p w:rsidR="009B2F2E" w:rsidRPr="009670D4" w:rsidRDefault="009670D4" w:rsidP="00A32F34">
            <w:pPr>
              <w:pStyle w:val="ListParagraph"/>
              <w:rPr>
                <w:b/>
                <w:sz w:val="21"/>
                <w:szCs w:val="21"/>
              </w:rPr>
            </w:pPr>
            <w:r w:rsidRPr="009670D4">
              <w:rPr>
                <w:b/>
                <w:sz w:val="21"/>
                <w:szCs w:val="21"/>
              </w:rPr>
              <w:t>Beliefs &amp; Values</w:t>
            </w:r>
          </w:p>
          <w:p w:rsidR="00A32F34" w:rsidRDefault="00A32F34" w:rsidP="00A32F34">
            <w:pPr>
              <w:pStyle w:val="ListParagraph"/>
              <w:numPr>
                <w:ilvl w:val="0"/>
                <w:numId w:val="30"/>
              </w:numPr>
              <w:suppressAutoHyphens/>
              <w:autoSpaceDN w:val="0"/>
              <w:contextualSpacing w:val="0"/>
              <w:textAlignment w:val="baseline"/>
              <w:rPr>
                <w:sz w:val="20"/>
              </w:rPr>
            </w:pPr>
            <w:r>
              <w:rPr>
                <w:sz w:val="20"/>
              </w:rPr>
              <w:t>The Torah – it is believed that the Torah was given to Moses when God made a covenant with the Jewish people after they had been freed from slavery in Egypt. The Torah was given to them to be a foundation of how to live as people of God.</w:t>
            </w:r>
          </w:p>
          <w:p w:rsidR="00A32F34" w:rsidRDefault="00A32F34" w:rsidP="00A32F34">
            <w:pPr>
              <w:pStyle w:val="ListParagraph"/>
              <w:numPr>
                <w:ilvl w:val="0"/>
                <w:numId w:val="30"/>
              </w:numPr>
              <w:suppressAutoHyphens/>
              <w:autoSpaceDN w:val="0"/>
              <w:contextualSpacing w:val="0"/>
              <w:textAlignment w:val="baseline"/>
              <w:rPr>
                <w:sz w:val="20"/>
              </w:rPr>
            </w:pPr>
            <w:r>
              <w:rPr>
                <w:sz w:val="20"/>
              </w:rPr>
              <w:t>Stories from the Torah all have lessons for Jews and help guide them and live their lives. The book contains 613 rules that teach people how to live.</w:t>
            </w:r>
          </w:p>
          <w:p w:rsidR="009B2F2E" w:rsidRPr="006C406B" w:rsidRDefault="00A32F34" w:rsidP="00A32F34">
            <w:pPr>
              <w:pStyle w:val="ListParagraph"/>
              <w:numPr>
                <w:ilvl w:val="0"/>
                <w:numId w:val="30"/>
              </w:numPr>
              <w:rPr>
                <w:sz w:val="21"/>
                <w:szCs w:val="21"/>
              </w:rPr>
            </w:pPr>
            <w:r>
              <w:rPr>
                <w:sz w:val="20"/>
              </w:rPr>
              <w:t>One of the rules is that Jewish people should learn about and study the Torah throughout their lives. They do this by attending the synagogue.</w:t>
            </w:r>
          </w:p>
        </w:tc>
        <w:tc>
          <w:tcPr>
            <w:tcW w:w="4678" w:type="dxa"/>
            <w:vMerge w:val="restart"/>
          </w:tcPr>
          <w:p w:rsidR="00A32F34" w:rsidRDefault="00A32F34" w:rsidP="00A32F34">
            <w:pPr>
              <w:tabs>
                <w:tab w:val="left" w:pos="720"/>
              </w:tabs>
            </w:pPr>
            <w:proofErr w:type="spellStart"/>
            <w:r>
              <w:rPr>
                <w:bCs/>
                <w:sz w:val="20"/>
                <w:szCs w:val="20"/>
              </w:rPr>
              <w:t>Tanach</w:t>
            </w:r>
            <w:proofErr w:type="spellEnd"/>
            <w:r>
              <w:rPr>
                <w:bCs/>
                <w:sz w:val="20"/>
                <w:szCs w:val="20"/>
              </w:rPr>
              <w:t xml:space="preserve"> (</w:t>
            </w:r>
            <w:proofErr w:type="spellStart"/>
            <w:r>
              <w:rPr>
                <w:bCs/>
                <w:sz w:val="20"/>
                <w:szCs w:val="20"/>
              </w:rPr>
              <w:t>Tenach</w:t>
            </w:r>
            <w:proofErr w:type="spellEnd"/>
            <w:r>
              <w:rPr>
                <w:bCs/>
                <w:sz w:val="20"/>
                <w:szCs w:val="20"/>
              </w:rPr>
              <w:t xml:space="preserve">) - </w:t>
            </w:r>
            <w:r>
              <w:rPr>
                <w:sz w:val="20"/>
                <w:szCs w:val="20"/>
              </w:rPr>
              <w:t>The collection of Jewish scripture is known as the </w:t>
            </w:r>
            <w:proofErr w:type="spellStart"/>
            <w:r>
              <w:rPr>
                <w:bCs/>
                <w:sz w:val="20"/>
                <w:szCs w:val="20"/>
              </w:rPr>
              <w:t>TaNaCH</w:t>
            </w:r>
            <w:proofErr w:type="spellEnd"/>
            <w:r>
              <w:rPr>
                <w:bCs/>
                <w:sz w:val="20"/>
                <w:szCs w:val="20"/>
              </w:rPr>
              <w:t> </w:t>
            </w:r>
            <w:r>
              <w:rPr>
                <w:sz w:val="20"/>
                <w:szCs w:val="20"/>
              </w:rPr>
              <w:t>(</w:t>
            </w:r>
            <w:proofErr w:type="spellStart"/>
            <w:r>
              <w:rPr>
                <w:sz w:val="20"/>
                <w:szCs w:val="20"/>
              </w:rPr>
              <w:t>TeNaK</w:t>
            </w:r>
            <w:proofErr w:type="spellEnd"/>
            <w:r>
              <w:rPr>
                <w:sz w:val="20"/>
                <w:szCs w:val="20"/>
              </w:rPr>
              <w:t xml:space="preserve">) which derives from the three parts to the Jewish scriptures; the Torah, the Nevi'im and the Ketuvim. The word </w:t>
            </w:r>
            <w:proofErr w:type="spellStart"/>
            <w:r>
              <w:rPr>
                <w:sz w:val="20"/>
                <w:szCs w:val="20"/>
              </w:rPr>
              <w:t>TaNaCH</w:t>
            </w:r>
            <w:proofErr w:type="spellEnd"/>
            <w:r>
              <w:rPr>
                <w:sz w:val="20"/>
                <w:szCs w:val="20"/>
              </w:rPr>
              <w:t xml:space="preserve"> is actually an acronym for the parts of the Hebrew Bible: "T" is for Torah, "N" is for Nevi'im, and "CH" is for Ketuvim. The Torah is the first part of the </w:t>
            </w:r>
            <w:proofErr w:type="spellStart"/>
            <w:r>
              <w:rPr>
                <w:sz w:val="20"/>
                <w:szCs w:val="20"/>
              </w:rPr>
              <w:t>TaNaCH</w:t>
            </w:r>
            <w:proofErr w:type="spellEnd"/>
            <w:r>
              <w:rPr>
                <w:sz w:val="20"/>
                <w:szCs w:val="20"/>
              </w:rPr>
              <w:t>.</w:t>
            </w:r>
          </w:p>
          <w:p w:rsidR="00A32F34" w:rsidRDefault="00A32F34" w:rsidP="00A32F34">
            <w:pPr>
              <w:rPr>
                <w:sz w:val="20"/>
                <w:szCs w:val="20"/>
              </w:rPr>
            </w:pPr>
          </w:p>
          <w:p w:rsidR="00A32F34" w:rsidRDefault="00A32F34" w:rsidP="00A32F34">
            <w:pPr>
              <w:rPr>
                <w:sz w:val="20"/>
                <w:szCs w:val="20"/>
              </w:rPr>
            </w:pPr>
            <w:r>
              <w:rPr>
                <w:sz w:val="20"/>
                <w:szCs w:val="20"/>
              </w:rPr>
              <w:t>The Torah – The Jewish book which gives Jewish people important lessons of how to live as people of God.</w:t>
            </w:r>
          </w:p>
          <w:p w:rsidR="00A32F34" w:rsidRDefault="00A32F34" w:rsidP="00A32F34">
            <w:pPr>
              <w:rPr>
                <w:sz w:val="20"/>
                <w:szCs w:val="20"/>
              </w:rPr>
            </w:pPr>
          </w:p>
          <w:p w:rsidR="00A32F34" w:rsidRDefault="00A32F34" w:rsidP="00A32F34">
            <w:pPr>
              <w:rPr>
                <w:sz w:val="20"/>
                <w:szCs w:val="20"/>
              </w:rPr>
            </w:pPr>
            <w:r>
              <w:rPr>
                <w:sz w:val="20"/>
                <w:szCs w:val="20"/>
              </w:rPr>
              <w:t>The Synagogue – the Jewish place of worship.</w:t>
            </w:r>
          </w:p>
          <w:p w:rsidR="00A32F34" w:rsidRDefault="00A32F34" w:rsidP="00A32F34">
            <w:pPr>
              <w:rPr>
                <w:sz w:val="20"/>
                <w:szCs w:val="20"/>
              </w:rPr>
            </w:pPr>
          </w:p>
          <w:p w:rsidR="00A32F34" w:rsidRDefault="00A32F34" w:rsidP="00A32F34">
            <w:r>
              <w:rPr>
                <w:rFonts w:cs="Arial"/>
                <w:sz w:val="20"/>
                <w:szCs w:val="20"/>
              </w:rPr>
              <w:t>Rabbi - literally ‘teacher’</w:t>
            </w:r>
          </w:p>
          <w:p w:rsidR="00A32F34" w:rsidRDefault="00A32F34" w:rsidP="00A32F34">
            <w:pPr>
              <w:rPr>
                <w:sz w:val="20"/>
                <w:szCs w:val="20"/>
              </w:rPr>
            </w:pPr>
          </w:p>
          <w:p w:rsidR="00A32F34" w:rsidRDefault="00A32F34" w:rsidP="00A32F34">
            <w:pPr>
              <w:rPr>
                <w:sz w:val="20"/>
                <w:szCs w:val="20"/>
              </w:rPr>
            </w:pPr>
            <w:proofErr w:type="spellStart"/>
            <w:r>
              <w:rPr>
                <w:sz w:val="20"/>
                <w:szCs w:val="20"/>
              </w:rPr>
              <w:t>vellium</w:t>
            </w:r>
            <w:proofErr w:type="spellEnd"/>
            <w:r>
              <w:rPr>
                <w:sz w:val="20"/>
                <w:szCs w:val="20"/>
              </w:rPr>
              <w:t xml:space="preserve"> - a prepared animal skin</w:t>
            </w:r>
          </w:p>
          <w:p w:rsidR="00A32F34" w:rsidRDefault="00A32F34" w:rsidP="00A32F34">
            <w:pPr>
              <w:rPr>
                <w:sz w:val="20"/>
                <w:szCs w:val="20"/>
              </w:rPr>
            </w:pPr>
          </w:p>
          <w:p w:rsidR="00A32F34" w:rsidRDefault="00A32F34" w:rsidP="00A32F34">
            <w:pPr>
              <w:rPr>
                <w:sz w:val="20"/>
                <w:szCs w:val="20"/>
              </w:rPr>
            </w:pPr>
            <w:proofErr w:type="spellStart"/>
            <w:proofErr w:type="gramStart"/>
            <w:r>
              <w:rPr>
                <w:sz w:val="20"/>
                <w:szCs w:val="20"/>
              </w:rPr>
              <w:t>yad</w:t>
            </w:r>
            <w:proofErr w:type="spellEnd"/>
            <w:proofErr w:type="gramEnd"/>
            <w:r>
              <w:rPr>
                <w:sz w:val="20"/>
                <w:szCs w:val="20"/>
              </w:rPr>
              <w:t xml:space="preserve"> - a pointer used to follow the words in the Torah. The Torah scroll should not be touched by hand.</w:t>
            </w:r>
          </w:p>
          <w:p w:rsidR="00A32F34" w:rsidRDefault="00A32F34" w:rsidP="00A32F34">
            <w:pPr>
              <w:rPr>
                <w:sz w:val="20"/>
                <w:szCs w:val="20"/>
              </w:rPr>
            </w:pPr>
          </w:p>
          <w:p w:rsidR="00A32F34" w:rsidRDefault="00A32F34" w:rsidP="00A32F34">
            <w:pPr>
              <w:rPr>
                <w:sz w:val="20"/>
                <w:szCs w:val="20"/>
              </w:rPr>
            </w:pPr>
            <w:proofErr w:type="spellStart"/>
            <w:r>
              <w:rPr>
                <w:sz w:val="20"/>
                <w:szCs w:val="20"/>
              </w:rPr>
              <w:t>Bimah</w:t>
            </w:r>
            <w:proofErr w:type="spellEnd"/>
            <w:r>
              <w:rPr>
                <w:sz w:val="20"/>
                <w:szCs w:val="20"/>
              </w:rPr>
              <w:t xml:space="preserve"> – a raised platform with a reading desk </w:t>
            </w:r>
          </w:p>
          <w:p w:rsidR="00A32F34" w:rsidRDefault="00A32F34" w:rsidP="00A32F34">
            <w:pPr>
              <w:rPr>
                <w:sz w:val="20"/>
                <w:szCs w:val="20"/>
              </w:rPr>
            </w:pPr>
          </w:p>
          <w:p w:rsidR="00A32F34" w:rsidRDefault="00A32F34" w:rsidP="00A32F34">
            <w:pPr>
              <w:rPr>
                <w:sz w:val="20"/>
                <w:szCs w:val="20"/>
              </w:rPr>
            </w:pPr>
            <w:r>
              <w:rPr>
                <w:sz w:val="20"/>
                <w:szCs w:val="20"/>
              </w:rPr>
              <w:t>Ark – the most important place inside the synagogue where the Torah is kept</w:t>
            </w:r>
          </w:p>
          <w:p w:rsidR="009B2F2E" w:rsidRPr="009B2F2E" w:rsidRDefault="009B2F2E" w:rsidP="006C406B">
            <w:pPr>
              <w:spacing w:line="276" w:lineRule="auto"/>
              <w:rPr>
                <w:sz w:val="21"/>
                <w:szCs w:val="21"/>
              </w:rPr>
            </w:pPr>
          </w:p>
        </w:tc>
      </w:tr>
      <w:tr w:rsidR="00A51FFD" w:rsidRPr="008D66BB" w:rsidTr="009B2F2E">
        <w:trPr>
          <w:trHeight w:val="58"/>
        </w:trPr>
        <w:tc>
          <w:tcPr>
            <w:tcW w:w="6062" w:type="dxa"/>
          </w:tcPr>
          <w:p w:rsidR="00A51FFD" w:rsidRPr="009670D4" w:rsidRDefault="009670D4" w:rsidP="00A32F34">
            <w:pPr>
              <w:pStyle w:val="ListParagraph"/>
              <w:rPr>
                <w:b/>
                <w:sz w:val="21"/>
                <w:szCs w:val="21"/>
              </w:rPr>
            </w:pPr>
            <w:r w:rsidRPr="009670D4">
              <w:rPr>
                <w:b/>
                <w:sz w:val="21"/>
                <w:szCs w:val="21"/>
              </w:rPr>
              <w:t>Living religious traditions</w:t>
            </w:r>
          </w:p>
          <w:p w:rsidR="00A32F34" w:rsidRDefault="00A32F34" w:rsidP="00A32F34">
            <w:pPr>
              <w:pStyle w:val="ListParagraph"/>
              <w:numPr>
                <w:ilvl w:val="0"/>
                <w:numId w:val="32"/>
              </w:numPr>
              <w:suppressAutoHyphens/>
              <w:autoSpaceDN w:val="0"/>
              <w:contextualSpacing w:val="0"/>
              <w:textAlignment w:val="baseline"/>
              <w:rPr>
                <w:sz w:val="20"/>
                <w:szCs w:val="20"/>
              </w:rPr>
            </w:pPr>
            <w:bookmarkStart w:id="0" w:name="_GoBack"/>
            <w:bookmarkEnd w:id="0"/>
            <w:r>
              <w:rPr>
                <w:sz w:val="20"/>
                <w:szCs w:val="20"/>
              </w:rPr>
              <w:t xml:space="preserve">The Synagogue – this is the Jewish place of worship, but is also used as a place to study, and often as a community centre as well.  </w:t>
            </w:r>
          </w:p>
          <w:p w:rsidR="00A32F34" w:rsidRDefault="00A32F34" w:rsidP="00A32F34">
            <w:pPr>
              <w:pStyle w:val="ListParagraph"/>
              <w:numPr>
                <w:ilvl w:val="0"/>
                <w:numId w:val="32"/>
              </w:numPr>
              <w:suppressAutoHyphens/>
              <w:autoSpaceDN w:val="0"/>
              <w:contextualSpacing w:val="0"/>
              <w:textAlignment w:val="baseline"/>
              <w:rPr>
                <w:sz w:val="20"/>
                <w:szCs w:val="20"/>
              </w:rPr>
            </w:pPr>
            <w:r>
              <w:rPr>
                <w:sz w:val="20"/>
                <w:szCs w:val="20"/>
              </w:rPr>
              <w:t xml:space="preserve">Attending the synagogue gives Jewish people time to focus on God and for the Rabbi and community to pass on religious and moral teachings to the people. </w:t>
            </w:r>
          </w:p>
          <w:p w:rsidR="00A32F34" w:rsidRDefault="00A32F34" w:rsidP="00A32F34">
            <w:pPr>
              <w:pStyle w:val="ListParagraph"/>
              <w:numPr>
                <w:ilvl w:val="0"/>
                <w:numId w:val="32"/>
              </w:numPr>
              <w:suppressAutoHyphens/>
              <w:autoSpaceDN w:val="0"/>
              <w:contextualSpacing w:val="0"/>
              <w:textAlignment w:val="baseline"/>
              <w:rPr>
                <w:sz w:val="20"/>
                <w:szCs w:val="20"/>
              </w:rPr>
            </w:pPr>
            <w:r>
              <w:rPr>
                <w:sz w:val="20"/>
                <w:szCs w:val="20"/>
              </w:rPr>
              <w:t xml:space="preserve">The </w:t>
            </w:r>
            <w:proofErr w:type="spellStart"/>
            <w:r>
              <w:rPr>
                <w:sz w:val="20"/>
                <w:szCs w:val="20"/>
              </w:rPr>
              <w:t>Sefer</w:t>
            </w:r>
            <w:proofErr w:type="spellEnd"/>
            <w:r>
              <w:rPr>
                <w:sz w:val="20"/>
                <w:szCs w:val="20"/>
              </w:rPr>
              <w:t xml:space="preserve"> Torah – this is the Torah </w:t>
            </w:r>
            <w:proofErr w:type="gramStart"/>
            <w:r>
              <w:rPr>
                <w:sz w:val="20"/>
                <w:szCs w:val="20"/>
              </w:rPr>
              <w:t>scroll, which are</w:t>
            </w:r>
            <w:proofErr w:type="gramEnd"/>
            <w:r>
              <w:rPr>
                <w:sz w:val="20"/>
                <w:szCs w:val="20"/>
              </w:rPr>
              <w:t xml:space="preserve"> handwritten by a specially trained scribe onto </w:t>
            </w:r>
            <w:proofErr w:type="spellStart"/>
            <w:r>
              <w:rPr>
                <w:sz w:val="20"/>
                <w:szCs w:val="20"/>
              </w:rPr>
              <w:t>vellium</w:t>
            </w:r>
            <w:proofErr w:type="spellEnd"/>
            <w:r>
              <w:rPr>
                <w:sz w:val="20"/>
                <w:szCs w:val="20"/>
              </w:rPr>
              <w:t xml:space="preserve"> (a prepared animal skin). This is treated with the utmost respect. It is an honour to be asked to read from it at a service in the synagogue, and importantly no one is allowed to touch it with their bare hands. Instead, a pointer called a </w:t>
            </w:r>
            <w:proofErr w:type="spellStart"/>
            <w:r>
              <w:rPr>
                <w:sz w:val="20"/>
                <w:szCs w:val="20"/>
              </w:rPr>
              <w:t>yad</w:t>
            </w:r>
            <w:proofErr w:type="spellEnd"/>
            <w:r>
              <w:rPr>
                <w:sz w:val="20"/>
                <w:szCs w:val="20"/>
              </w:rPr>
              <w:t xml:space="preserve"> is used to follow the words.</w:t>
            </w:r>
          </w:p>
          <w:p w:rsidR="00A32F34" w:rsidRDefault="00A32F34" w:rsidP="00A32F34">
            <w:pPr>
              <w:pStyle w:val="ListParagraph"/>
              <w:numPr>
                <w:ilvl w:val="0"/>
                <w:numId w:val="32"/>
              </w:numPr>
              <w:suppressAutoHyphens/>
              <w:autoSpaceDN w:val="0"/>
              <w:contextualSpacing w:val="0"/>
              <w:textAlignment w:val="baseline"/>
              <w:rPr>
                <w:sz w:val="20"/>
                <w:szCs w:val="20"/>
              </w:rPr>
            </w:pPr>
            <w:r>
              <w:rPr>
                <w:sz w:val="20"/>
                <w:szCs w:val="20"/>
              </w:rPr>
              <w:t>In the Torah, rules for everyday life are only talked about very briefly.</w:t>
            </w:r>
          </w:p>
          <w:p w:rsidR="00A51FFD" w:rsidRPr="006C406B" w:rsidRDefault="00A32F34" w:rsidP="00A32F34">
            <w:pPr>
              <w:pStyle w:val="ListParagraph"/>
              <w:numPr>
                <w:ilvl w:val="0"/>
                <w:numId w:val="32"/>
              </w:numPr>
              <w:rPr>
                <w:sz w:val="21"/>
                <w:szCs w:val="21"/>
              </w:rPr>
            </w:pPr>
            <w:r>
              <w:rPr>
                <w:sz w:val="20"/>
                <w:szCs w:val="20"/>
              </w:rPr>
              <w:t>Over thousands of years, Rabbis have talked about what the Torah meant and came up with details of how Jewish people should live their lives.</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32F34">
            <w:pPr>
              <w:pStyle w:val="ListParagraph"/>
              <w:rPr>
                <w:b/>
                <w:sz w:val="21"/>
                <w:szCs w:val="21"/>
              </w:rPr>
            </w:pPr>
            <w:r w:rsidRPr="009670D4">
              <w:rPr>
                <w:b/>
                <w:sz w:val="21"/>
                <w:szCs w:val="21"/>
              </w:rPr>
              <w:t>Shared human experiences</w:t>
            </w:r>
          </w:p>
          <w:p w:rsidR="00A51FFD" w:rsidRPr="006C406B" w:rsidRDefault="00A32F34" w:rsidP="006C406B">
            <w:pPr>
              <w:pStyle w:val="ListParagraph"/>
              <w:numPr>
                <w:ilvl w:val="0"/>
                <w:numId w:val="8"/>
              </w:numPr>
              <w:rPr>
                <w:sz w:val="21"/>
                <w:szCs w:val="21"/>
              </w:rPr>
            </w:pPr>
            <w:r>
              <w:rPr>
                <w:sz w:val="20"/>
              </w:rPr>
              <w:t>Rules and guidance can unite communities</w:t>
            </w:r>
          </w:p>
        </w:tc>
        <w:tc>
          <w:tcPr>
            <w:tcW w:w="4678" w:type="dxa"/>
            <w:vMerge w:val="restart"/>
          </w:tcPr>
          <w:p w:rsidR="00C6712F" w:rsidRDefault="00C6712F" w:rsidP="00CF1EDF">
            <w:pPr>
              <w:rPr>
                <w:noProof/>
                <w:lang w:eastAsia="en-GB"/>
              </w:rPr>
            </w:pPr>
          </w:p>
          <w:p w:rsidR="00C6712F" w:rsidRDefault="00C6712F" w:rsidP="00AC5B82">
            <w:pPr>
              <w:rPr>
                <w:noProof/>
                <w:lang w:eastAsia="en-GB"/>
              </w:rPr>
            </w:pPr>
            <w:r>
              <w:rPr>
                <w:sz w:val="21"/>
                <w:szCs w:val="21"/>
              </w:rPr>
              <w:t xml:space="preserve"> </w:t>
            </w:r>
            <w:r w:rsidR="005A3D3A">
              <w:rPr>
                <w:noProof/>
                <w:lang w:eastAsia="en-GB"/>
              </w:rPr>
              <w:t xml:space="preserve"> </w:t>
            </w:r>
            <w:r w:rsidR="00A32F34">
              <w:t xml:space="preserve"> </w:t>
            </w:r>
            <w:r w:rsidR="00A32F34">
              <w:rPr>
                <w:noProof/>
                <w:lang w:eastAsia="en-GB"/>
              </w:rPr>
              <w:drawing>
                <wp:inline distT="0" distB="0" distL="0" distR="0">
                  <wp:extent cx="2009775" cy="1339849"/>
                  <wp:effectExtent l="0" t="0" r="0" b="0"/>
                  <wp:docPr id="2" name="Picture 2" descr="The Torah: The Heart and Rhythm of Jewish Life | Messianic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orah: The Heart and Rhythm of Jewish Life | Messianic B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520" cy="1343679"/>
                          </a:xfrm>
                          <a:prstGeom prst="rect">
                            <a:avLst/>
                          </a:prstGeom>
                          <a:noFill/>
                          <a:ln>
                            <a:noFill/>
                          </a:ln>
                        </pic:spPr>
                      </pic:pic>
                    </a:graphicData>
                  </a:graphic>
                </wp:inline>
              </w:drawing>
            </w:r>
          </w:p>
          <w:p w:rsidR="005A3D3A" w:rsidRDefault="005A3D3A" w:rsidP="00AC5B82">
            <w:pPr>
              <w:rPr>
                <w:noProof/>
                <w:lang w:eastAsia="en-GB"/>
              </w:rPr>
            </w:pPr>
          </w:p>
          <w:p w:rsidR="005A3D3A" w:rsidRPr="008D66BB" w:rsidRDefault="005A3D3A" w:rsidP="00AC5B82">
            <w:pPr>
              <w:rPr>
                <w:sz w:val="21"/>
                <w:szCs w:val="21"/>
              </w:rPr>
            </w:pPr>
          </w:p>
        </w:tc>
      </w:tr>
      <w:tr w:rsidR="00A51FFD" w:rsidRPr="008D66BB" w:rsidTr="00B07BE3">
        <w:tc>
          <w:tcPr>
            <w:tcW w:w="6062" w:type="dxa"/>
          </w:tcPr>
          <w:p w:rsidR="00A51FFD" w:rsidRPr="009670D4" w:rsidRDefault="009670D4" w:rsidP="00A32F34">
            <w:pPr>
              <w:pStyle w:val="ListParagraph"/>
              <w:rPr>
                <w:b/>
                <w:sz w:val="21"/>
                <w:szCs w:val="21"/>
              </w:rPr>
            </w:pPr>
            <w:r w:rsidRPr="009670D4">
              <w:rPr>
                <w:b/>
                <w:sz w:val="21"/>
                <w:szCs w:val="21"/>
              </w:rPr>
              <w:t>Search for personal meaning</w:t>
            </w:r>
          </w:p>
          <w:p w:rsidR="00A51FFD" w:rsidRPr="00A32F34" w:rsidRDefault="00A32F34" w:rsidP="00A32F34">
            <w:pPr>
              <w:pStyle w:val="ListParagraph"/>
              <w:numPr>
                <w:ilvl w:val="0"/>
                <w:numId w:val="24"/>
              </w:numPr>
              <w:suppressAutoHyphens/>
              <w:autoSpaceDN w:val="0"/>
              <w:contextualSpacing w:val="0"/>
              <w:textAlignment w:val="baseline"/>
            </w:pPr>
            <w:r>
              <w:t>There are different sources of guidance available to followers of the Jewish faith – they may seek out and value different sources of guidance for different situations in their lives</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Warrington Links :</w:t>
            </w:r>
          </w:p>
          <w:p w:rsidR="00AC5B82" w:rsidRPr="00AC5B82" w:rsidRDefault="00A32F34" w:rsidP="00A32F34">
            <w:pPr>
              <w:rPr>
                <w:sz w:val="21"/>
                <w:szCs w:val="21"/>
              </w:rPr>
            </w:pPr>
            <w:r>
              <w:rPr>
                <w:noProof/>
                <w:lang w:eastAsia="en-GB"/>
              </w:rPr>
              <w:drawing>
                <wp:inline distT="0" distB="0" distL="0" distR="0" wp14:anchorId="56BC71E7" wp14:editId="178AFB0E">
                  <wp:extent cx="3245862" cy="10580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52258" cy="1060111"/>
                          </a:xfrm>
                          <a:prstGeom prst="rect">
                            <a:avLst/>
                          </a:prstGeom>
                        </pic:spPr>
                      </pic:pic>
                    </a:graphicData>
                  </a:graphic>
                </wp:inline>
              </w:drawing>
            </w: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AD5F01" w:rsidRDefault="00C6712F" w:rsidP="00AD5F01">
            <w:pPr>
              <w:rPr>
                <w:sz w:val="21"/>
                <w:szCs w:val="21"/>
              </w:rPr>
            </w:pPr>
            <w:r>
              <w:rPr>
                <w:sz w:val="21"/>
                <w:szCs w:val="21"/>
              </w:rPr>
              <w:lastRenderedPageBreak/>
              <w:t>Texts:</w:t>
            </w:r>
          </w:p>
          <w:p w:rsidR="00A32F34" w:rsidRDefault="00A32F34" w:rsidP="00A32F34">
            <w:hyperlink r:id="rId11" w:history="1">
              <w:r>
                <w:rPr>
                  <w:rStyle w:val="Hyperlink"/>
                </w:rPr>
                <w:t>https://www.bbc.co.uk/bitesize/clips/z8r87ty</w:t>
              </w:r>
            </w:hyperlink>
            <w:r>
              <w:t xml:space="preserve"> - The rules of Judaism</w:t>
            </w:r>
          </w:p>
          <w:p w:rsidR="00A32F34" w:rsidRDefault="00A32F34" w:rsidP="00A32F34">
            <w:hyperlink r:id="rId12" w:history="1">
              <w:r>
                <w:rPr>
                  <w:rStyle w:val="Hyperlink"/>
                </w:rPr>
                <w:t>https://www.bbc.co.uk/bitesize/clips/zjkq6sg</w:t>
              </w:r>
            </w:hyperlink>
            <w:r>
              <w:t xml:space="preserve"> - The Torah and Abraham’s search for a wife for his son</w:t>
            </w:r>
          </w:p>
          <w:p w:rsidR="00A32F34" w:rsidRDefault="00A32F34" w:rsidP="00A32F34">
            <w:hyperlink r:id="rId13" w:history="1">
              <w:r>
                <w:rPr>
                  <w:rStyle w:val="Hyperlink"/>
                </w:rPr>
                <w:t>https://www.bbc.co.uk/bitesize/clips/z834wmn</w:t>
              </w:r>
            </w:hyperlink>
            <w:r>
              <w:t xml:space="preserve"> - The Synagogue</w:t>
            </w:r>
          </w:p>
          <w:p w:rsidR="00C6712F" w:rsidRPr="00AC5B82" w:rsidRDefault="00C6712F" w:rsidP="006C406B">
            <w:pPr>
              <w:rPr>
                <w:sz w:val="21"/>
                <w:szCs w:val="21"/>
              </w:rPr>
            </w:pPr>
          </w:p>
        </w:tc>
        <w:tc>
          <w:tcPr>
            <w:tcW w:w="4678" w:type="dxa"/>
            <w:vMerge/>
          </w:tcPr>
          <w:p w:rsidR="00B07BE3" w:rsidRPr="008D66BB" w:rsidRDefault="00B07BE3" w:rsidP="00B07BE3">
            <w:pPr>
              <w:rPr>
                <w:sz w:val="21"/>
                <w:szCs w:val="21"/>
              </w:rPr>
            </w:pPr>
          </w:p>
        </w:tc>
      </w:tr>
      <w:tr w:rsidR="00C6712F" w:rsidRPr="008D66BB" w:rsidTr="00D538C1">
        <w:trPr>
          <w:trHeight w:val="1570"/>
        </w:trPr>
        <w:tc>
          <w:tcPr>
            <w:tcW w:w="6062" w:type="dxa"/>
          </w:tcPr>
          <w:p w:rsidR="00C6712F" w:rsidRDefault="00C6712F" w:rsidP="00AC5B82">
            <w:pPr>
              <w:rPr>
                <w:sz w:val="21"/>
                <w:szCs w:val="21"/>
              </w:rPr>
            </w:pPr>
            <w:r>
              <w:rPr>
                <w:sz w:val="21"/>
                <w:szCs w:val="21"/>
              </w:rPr>
              <w:t>Enrichment:</w:t>
            </w:r>
          </w:p>
          <w:p w:rsidR="00A32F34" w:rsidRPr="00A32F34" w:rsidRDefault="00A32F34" w:rsidP="006C406B">
            <w:pPr>
              <w:pStyle w:val="ListParagraph"/>
              <w:numPr>
                <w:ilvl w:val="0"/>
                <w:numId w:val="27"/>
              </w:numPr>
              <w:rPr>
                <w:sz w:val="21"/>
                <w:szCs w:val="21"/>
              </w:rPr>
            </w:pPr>
            <w:r>
              <w:rPr>
                <w:rFonts w:cs="Arial"/>
                <w:szCs w:val="20"/>
              </w:rPr>
              <w:t xml:space="preserve">One of the rules is that Jewish people should learn about and study the Torah throughout their lives.  They do this by attending the synagogue where the Torah is read aloud and the Rabbi (literally ‘teacher’) is there to offer insight and </w:t>
            </w:r>
            <w:r>
              <w:rPr>
                <w:rFonts w:cs="Arial"/>
                <w:szCs w:val="20"/>
              </w:rPr>
              <w:t xml:space="preserve">guidance into its teaching. </w:t>
            </w:r>
          </w:p>
          <w:p w:rsidR="00492949" w:rsidRPr="00AC5B82" w:rsidRDefault="00A32F34" w:rsidP="006C406B">
            <w:pPr>
              <w:pStyle w:val="ListParagraph"/>
              <w:numPr>
                <w:ilvl w:val="0"/>
                <w:numId w:val="27"/>
              </w:numPr>
              <w:rPr>
                <w:sz w:val="21"/>
                <w:szCs w:val="21"/>
              </w:rPr>
            </w:pPr>
            <w:r>
              <w:rPr>
                <w:rFonts w:cs="Arial"/>
              </w:rPr>
              <w:t xml:space="preserve">‘Email a believer’ resource at </w:t>
            </w:r>
            <w:hyperlink r:id="rId14" w:history="1">
              <w:r>
                <w:rPr>
                  <w:rStyle w:val="Hyperlink"/>
                  <w:rFonts w:cs="Arial"/>
                </w:rPr>
                <w:t>http://pof.reonline.org.uk/</w:t>
              </w:r>
            </w:hyperlink>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BE" w:rsidRDefault="00D059BE" w:rsidP="000720EE">
      <w:pPr>
        <w:spacing w:after="0" w:line="240" w:lineRule="auto"/>
      </w:pPr>
      <w:r>
        <w:separator/>
      </w:r>
    </w:p>
  </w:endnote>
  <w:endnote w:type="continuationSeparator" w:id="0">
    <w:p w:rsidR="00D059BE" w:rsidRDefault="00D059BE"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BE" w:rsidRDefault="00D059BE" w:rsidP="000720EE">
      <w:pPr>
        <w:spacing w:after="0" w:line="240" w:lineRule="auto"/>
      </w:pPr>
      <w:r>
        <w:separator/>
      </w:r>
    </w:p>
  </w:footnote>
  <w:footnote w:type="continuationSeparator" w:id="0">
    <w:p w:rsidR="00D059BE" w:rsidRDefault="00D059BE"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36A5A"/>
    <w:multiLevelType w:val="hybridMultilevel"/>
    <w:tmpl w:val="9B5ED8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D0CA8"/>
    <w:multiLevelType w:val="multilevel"/>
    <w:tmpl w:val="7A766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9A4D62"/>
    <w:multiLevelType w:val="multilevel"/>
    <w:tmpl w:val="F23CA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22353"/>
    <w:multiLevelType w:val="hybridMultilevel"/>
    <w:tmpl w:val="D89A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E630E3"/>
    <w:multiLevelType w:val="multilevel"/>
    <w:tmpl w:val="7E062D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4"/>
  </w:num>
  <w:num w:numId="2">
    <w:abstractNumId w:val="5"/>
  </w:num>
  <w:num w:numId="3">
    <w:abstractNumId w:val="1"/>
  </w:num>
  <w:num w:numId="4">
    <w:abstractNumId w:val="10"/>
  </w:num>
  <w:num w:numId="5">
    <w:abstractNumId w:val="26"/>
  </w:num>
  <w:num w:numId="6">
    <w:abstractNumId w:val="11"/>
  </w:num>
  <w:num w:numId="7">
    <w:abstractNumId w:val="2"/>
  </w:num>
  <w:num w:numId="8">
    <w:abstractNumId w:val="25"/>
  </w:num>
  <w:num w:numId="9">
    <w:abstractNumId w:val="17"/>
  </w:num>
  <w:num w:numId="10">
    <w:abstractNumId w:val="3"/>
  </w:num>
  <w:num w:numId="11">
    <w:abstractNumId w:val="8"/>
  </w:num>
  <w:num w:numId="12">
    <w:abstractNumId w:val="12"/>
  </w:num>
  <w:num w:numId="13">
    <w:abstractNumId w:val="18"/>
  </w:num>
  <w:num w:numId="14">
    <w:abstractNumId w:val="22"/>
  </w:num>
  <w:num w:numId="15">
    <w:abstractNumId w:val="0"/>
  </w:num>
  <w:num w:numId="16">
    <w:abstractNumId w:val="28"/>
  </w:num>
  <w:num w:numId="17">
    <w:abstractNumId w:val="9"/>
  </w:num>
  <w:num w:numId="18">
    <w:abstractNumId w:val="16"/>
  </w:num>
  <w:num w:numId="19">
    <w:abstractNumId w:val="4"/>
  </w:num>
  <w:num w:numId="20">
    <w:abstractNumId w:val="6"/>
  </w:num>
  <w:num w:numId="21">
    <w:abstractNumId w:val="29"/>
  </w:num>
  <w:num w:numId="22">
    <w:abstractNumId w:val="23"/>
  </w:num>
  <w:num w:numId="23">
    <w:abstractNumId w:val="20"/>
  </w:num>
  <w:num w:numId="24">
    <w:abstractNumId w:val="30"/>
  </w:num>
  <w:num w:numId="25">
    <w:abstractNumId w:val="7"/>
  </w:num>
  <w:num w:numId="26">
    <w:abstractNumId w:val="19"/>
  </w:num>
  <w:num w:numId="27">
    <w:abstractNumId w:val="13"/>
  </w:num>
  <w:num w:numId="28">
    <w:abstractNumId w:val="15"/>
  </w:num>
  <w:num w:numId="29">
    <w:abstractNumId w:val="31"/>
  </w:num>
  <w:num w:numId="30">
    <w:abstractNumId w:val="14"/>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0B146B"/>
    <w:rsid w:val="00102DD8"/>
    <w:rsid w:val="00110F2C"/>
    <w:rsid w:val="001203B6"/>
    <w:rsid w:val="001455D4"/>
    <w:rsid w:val="001C4669"/>
    <w:rsid w:val="00262ADE"/>
    <w:rsid w:val="003135A2"/>
    <w:rsid w:val="0035047C"/>
    <w:rsid w:val="00422028"/>
    <w:rsid w:val="00491558"/>
    <w:rsid w:val="00492949"/>
    <w:rsid w:val="00533BEA"/>
    <w:rsid w:val="005A3D3A"/>
    <w:rsid w:val="006B62BC"/>
    <w:rsid w:val="006C406B"/>
    <w:rsid w:val="006E1F29"/>
    <w:rsid w:val="007349A3"/>
    <w:rsid w:val="007717FD"/>
    <w:rsid w:val="007E7E1A"/>
    <w:rsid w:val="00811ED2"/>
    <w:rsid w:val="008464C6"/>
    <w:rsid w:val="008D66BB"/>
    <w:rsid w:val="009137C1"/>
    <w:rsid w:val="009458CF"/>
    <w:rsid w:val="0096471D"/>
    <w:rsid w:val="009670D4"/>
    <w:rsid w:val="009B2F2E"/>
    <w:rsid w:val="009D4D68"/>
    <w:rsid w:val="009E46F4"/>
    <w:rsid w:val="009F3919"/>
    <w:rsid w:val="00A32F34"/>
    <w:rsid w:val="00A45DF0"/>
    <w:rsid w:val="00A51FFD"/>
    <w:rsid w:val="00A9019D"/>
    <w:rsid w:val="00A92975"/>
    <w:rsid w:val="00AC46BF"/>
    <w:rsid w:val="00AC5B82"/>
    <w:rsid w:val="00AD5F01"/>
    <w:rsid w:val="00B07BE3"/>
    <w:rsid w:val="00B44AFF"/>
    <w:rsid w:val="00B539E9"/>
    <w:rsid w:val="00BF426C"/>
    <w:rsid w:val="00C6712F"/>
    <w:rsid w:val="00CF1EDF"/>
    <w:rsid w:val="00CF57DB"/>
    <w:rsid w:val="00D059BE"/>
    <w:rsid w:val="00D174ED"/>
    <w:rsid w:val="00D306FC"/>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bitesize/clips/z834wm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bc.co.uk/bitesize/clips/zjkq6s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clips/z8r87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f.re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AAEF-40F0-444E-BD9A-0BDA6036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2021-09-03T10:13:00Z</dcterms:created>
  <dcterms:modified xsi:type="dcterms:W3CDTF">2021-09-03T10:14:00Z</dcterms:modified>
</cp:coreProperties>
</file>