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28" w:rsidRPr="008E5120" w:rsidRDefault="008E5120" w:rsidP="008E5120">
      <w:pPr>
        <w:jc w:val="center"/>
        <w:rPr>
          <w:u w:val="single"/>
        </w:rPr>
      </w:pPr>
      <w:r>
        <w:rPr>
          <w:u w:val="single"/>
        </w:rPr>
        <w:t>Year 2</w:t>
      </w:r>
      <w:r w:rsidR="009B2F2E">
        <w:rPr>
          <w:u w:val="single"/>
        </w:rPr>
        <w:t xml:space="preserve"> RE</w:t>
      </w:r>
      <w:r w:rsidR="009E46F4">
        <w:rPr>
          <w:u w:val="single"/>
        </w:rPr>
        <w:t xml:space="preserve"> </w:t>
      </w:r>
      <w:r>
        <w:rPr>
          <w:u w:val="single"/>
        </w:rPr>
        <w:t xml:space="preserve">– </w:t>
      </w:r>
      <w:r w:rsidR="007F3492" w:rsidRPr="007F3492">
        <w:rPr>
          <w:u w:val="single"/>
        </w:rPr>
        <w:t>What aspects of life really matter?</w:t>
      </w:r>
    </w:p>
    <w:tbl>
      <w:tblPr>
        <w:tblStyle w:val="TableGrid"/>
        <w:tblW w:w="10740" w:type="dxa"/>
        <w:tblLook w:val="04A0" w:firstRow="1" w:lastRow="0" w:firstColumn="1" w:lastColumn="0" w:noHBand="0" w:noVBand="1"/>
      </w:tblPr>
      <w:tblGrid>
        <w:gridCol w:w="10740"/>
      </w:tblGrid>
      <w:tr w:rsidR="009B2F2E" w:rsidRPr="008D66BB" w:rsidTr="001931F3">
        <w:trPr>
          <w:trHeight w:val="2032"/>
        </w:trPr>
        <w:tc>
          <w:tcPr>
            <w:tcW w:w="10740" w:type="dxa"/>
          </w:tcPr>
          <w:p w:rsidR="007F3492" w:rsidRPr="001931F3" w:rsidRDefault="009B2F2E" w:rsidP="007F3492">
            <w:pPr>
              <w:rPr>
                <w:rFonts w:ascii="Calibri" w:eastAsia="Calibri" w:hAnsi="Calibri" w:cs="Calibri"/>
              </w:rPr>
            </w:pPr>
            <w:r>
              <w:rPr>
                <w:sz w:val="21"/>
                <w:szCs w:val="21"/>
                <w:u w:val="single"/>
              </w:rPr>
              <w:t>Curriculum Aims:</w:t>
            </w:r>
            <w:r>
              <w:t xml:space="preserve"> </w:t>
            </w:r>
          </w:p>
          <w:p w:rsidR="007F3492" w:rsidRPr="007F3492" w:rsidRDefault="007F3492" w:rsidP="007F3492">
            <w:pPr>
              <w:spacing w:after="160" w:line="259" w:lineRule="auto"/>
              <w:rPr>
                <w:rFonts w:ascii="Calibri" w:eastAsia="Calibri" w:hAnsi="Calibri" w:cs="Calibri"/>
              </w:rPr>
            </w:pPr>
            <w:r w:rsidRPr="007F3492">
              <w:rPr>
                <w:rFonts w:ascii="Calibri" w:eastAsia="Calibri" w:hAnsi="Calibri" w:cs="Calibri"/>
              </w:rPr>
              <w:t xml:space="preserve">In this unit pupils will examine Jewish beliefs and practices linked to the Sabbath (Shabbat). Opportunities are provided for pupils to explore the significance of the Sabbath and why Jewish people keep the day holy.  </w:t>
            </w:r>
          </w:p>
          <w:p w:rsidR="007F3492" w:rsidRPr="007F3492" w:rsidRDefault="007F3492" w:rsidP="007F3492">
            <w:pPr>
              <w:spacing w:after="160" w:line="259" w:lineRule="auto"/>
              <w:rPr>
                <w:rFonts w:ascii="Calibri" w:eastAsia="Calibri" w:hAnsi="Calibri" w:cs="Calibri"/>
              </w:rPr>
            </w:pPr>
            <w:r w:rsidRPr="007F3492">
              <w:rPr>
                <w:rFonts w:ascii="Calibri" w:eastAsia="Calibri" w:hAnsi="Calibri" w:cs="Calibri"/>
              </w:rPr>
              <w:t>Within this, they will discuss the importance of holy days and how these might unite families and give time to spend together.</w:t>
            </w:r>
          </w:p>
          <w:p w:rsidR="009B2F2E" w:rsidRPr="001931F3" w:rsidRDefault="007F3492" w:rsidP="007F3492">
            <w:pPr>
              <w:spacing w:after="160" w:line="259" w:lineRule="auto"/>
              <w:rPr>
                <w:rFonts w:ascii="Calibri" w:eastAsia="Calibri" w:hAnsi="Calibri" w:cs="Calibri"/>
              </w:rPr>
            </w:pPr>
            <w:r w:rsidRPr="007F3492">
              <w:rPr>
                <w:rFonts w:ascii="Calibri" w:eastAsia="Calibri" w:hAnsi="Calibri" w:cs="Calibri"/>
              </w:rPr>
              <w:t>Children should have opportunities to reflect on the value of making time for those things that are important to us – for religious people this may be God, but for others it may be the family and friends. Making time is a way of showing that we are thankful to have these people in our lives.</w:t>
            </w:r>
          </w:p>
        </w:tc>
      </w:tr>
      <w:tr w:rsidR="00422028" w:rsidRPr="008D66BB" w:rsidTr="006E1F29">
        <w:tc>
          <w:tcPr>
            <w:tcW w:w="10740" w:type="dxa"/>
          </w:tcPr>
          <w:p w:rsidR="00422028" w:rsidRPr="008462DC" w:rsidRDefault="00CF57DB" w:rsidP="007F3492">
            <w:pPr>
              <w:rPr>
                <w:sz w:val="21"/>
                <w:szCs w:val="21"/>
              </w:rPr>
            </w:pPr>
            <w:r w:rsidRPr="008D66BB">
              <w:rPr>
                <w:sz w:val="21"/>
                <w:szCs w:val="21"/>
                <w:u w:val="single"/>
              </w:rPr>
              <w:t>Prior Learning:</w:t>
            </w:r>
            <w:r w:rsidR="001203B6" w:rsidRPr="00D174ED">
              <w:rPr>
                <w:sz w:val="21"/>
                <w:szCs w:val="21"/>
              </w:rPr>
              <w:t xml:space="preserve"> </w:t>
            </w:r>
            <w:r w:rsidR="008462DC">
              <w:rPr>
                <w:sz w:val="21"/>
                <w:szCs w:val="21"/>
              </w:rPr>
              <w:t xml:space="preserve"> </w:t>
            </w:r>
            <w:r w:rsidR="007F3492" w:rsidRPr="007F3492">
              <w:rPr>
                <w:rFonts w:ascii="Calibri" w:eastAsia="Calibri" w:hAnsi="Calibri" w:cs="Calibri"/>
              </w:rPr>
              <w:t>In Year 1 children will have learnt about Noah, and why he is important to Jewish People. In this unit children will build on that understanding by learning about other important Jewish figures.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1931F3">
        <w:trPr>
          <w:trHeight w:val="185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7F3492" w:rsidRPr="007F3492" w:rsidRDefault="008E5120" w:rsidP="007F3492">
            <w:pPr>
              <w:pStyle w:val="ListParagraph"/>
              <w:numPr>
                <w:ilvl w:val="0"/>
                <w:numId w:val="4"/>
              </w:numPr>
              <w:rPr>
                <w:sz w:val="21"/>
                <w:szCs w:val="21"/>
              </w:rPr>
            </w:pPr>
            <w:r>
              <w:rPr>
                <w:sz w:val="21"/>
                <w:szCs w:val="21"/>
              </w:rPr>
              <w:t xml:space="preserve">To </w:t>
            </w:r>
            <w:r w:rsidR="007F3492" w:rsidRPr="007F3492">
              <w:rPr>
                <w:sz w:val="21"/>
                <w:szCs w:val="21"/>
              </w:rPr>
              <w:t>retell the story of Moses being given the Ten Commandments</w:t>
            </w:r>
          </w:p>
          <w:p w:rsidR="007F3492" w:rsidRPr="007F3492" w:rsidRDefault="007F3492" w:rsidP="007F3492">
            <w:pPr>
              <w:pStyle w:val="ListParagraph"/>
              <w:numPr>
                <w:ilvl w:val="0"/>
                <w:numId w:val="4"/>
              </w:numPr>
              <w:rPr>
                <w:sz w:val="21"/>
                <w:szCs w:val="21"/>
              </w:rPr>
            </w:pPr>
            <w:r>
              <w:rPr>
                <w:sz w:val="21"/>
                <w:szCs w:val="21"/>
              </w:rPr>
              <w:t xml:space="preserve">To </w:t>
            </w:r>
            <w:r w:rsidRPr="007F3492">
              <w:rPr>
                <w:sz w:val="21"/>
                <w:szCs w:val="21"/>
              </w:rPr>
              <w:t xml:space="preserve">know some of the Commandments – </w:t>
            </w:r>
            <w:r w:rsidR="009B6226" w:rsidRPr="007F3492">
              <w:rPr>
                <w:sz w:val="21"/>
                <w:szCs w:val="21"/>
              </w:rPr>
              <w:t>e.g.</w:t>
            </w:r>
            <w:r w:rsidRPr="007F3492">
              <w:rPr>
                <w:sz w:val="21"/>
                <w:szCs w:val="21"/>
              </w:rPr>
              <w:t xml:space="preserve"> Keep the Sabbath Day holy, Respect your mother and father</w:t>
            </w:r>
          </w:p>
          <w:p w:rsidR="009B2F2E" w:rsidRPr="007F3492" w:rsidRDefault="007F3492" w:rsidP="007F3492">
            <w:pPr>
              <w:pStyle w:val="ListParagraph"/>
              <w:numPr>
                <w:ilvl w:val="0"/>
                <w:numId w:val="4"/>
              </w:numPr>
              <w:rPr>
                <w:sz w:val="21"/>
                <w:szCs w:val="21"/>
              </w:rPr>
            </w:pPr>
            <w:r>
              <w:rPr>
                <w:sz w:val="21"/>
                <w:szCs w:val="21"/>
              </w:rPr>
              <w:t xml:space="preserve">To </w:t>
            </w:r>
            <w:r w:rsidRPr="007F3492">
              <w:rPr>
                <w:sz w:val="21"/>
                <w:szCs w:val="21"/>
              </w:rPr>
              <w:t>suggest ways in which the Ten Commandments might influence the life of a believer</w:t>
            </w:r>
          </w:p>
        </w:tc>
        <w:tc>
          <w:tcPr>
            <w:tcW w:w="4678" w:type="dxa"/>
            <w:vMerge w:val="restart"/>
          </w:tcPr>
          <w:p w:rsidR="009B2F2E" w:rsidRPr="002A0CB3" w:rsidRDefault="002A0CB3" w:rsidP="007F3492">
            <w:pPr>
              <w:rPr>
                <w:sz w:val="21"/>
                <w:szCs w:val="21"/>
              </w:rPr>
            </w:pPr>
            <w:r w:rsidRPr="002A0CB3">
              <w:rPr>
                <w:bCs/>
                <w:sz w:val="21"/>
                <w:szCs w:val="21"/>
              </w:rPr>
              <w:t xml:space="preserve">Judaism, Jewish Moses, Pharaoh, Prophet, Ten Commandments,  </w:t>
            </w:r>
            <w:r w:rsidRPr="002A0CB3">
              <w:rPr>
                <w:bCs/>
                <w:sz w:val="21"/>
                <w:szCs w:val="21"/>
              </w:rPr>
              <w:t>Decalogue</w:t>
            </w:r>
            <w:r w:rsidRPr="002A0CB3">
              <w:rPr>
                <w:bCs/>
                <w:sz w:val="21"/>
                <w:szCs w:val="21"/>
              </w:rPr>
              <w:t xml:space="preserve"> </w:t>
            </w:r>
            <w:r>
              <w:rPr>
                <w:bCs/>
                <w:sz w:val="21"/>
                <w:szCs w:val="21"/>
              </w:rPr>
              <w:t xml:space="preserve">, </w:t>
            </w:r>
            <w:r w:rsidRPr="002A0CB3">
              <w:rPr>
                <w:bCs/>
                <w:sz w:val="21"/>
                <w:szCs w:val="21"/>
              </w:rPr>
              <w:t xml:space="preserve">Rules, The Sabbath, </w:t>
            </w:r>
            <w:r>
              <w:rPr>
                <w:bCs/>
                <w:sz w:val="21"/>
                <w:szCs w:val="21"/>
              </w:rPr>
              <w:t xml:space="preserve">holy, </w:t>
            </w:r>
            <w:r w:rsidRPr="002A0CB3">
              <w:rPr>
                <w:bCs/>
                <w:sz w:val="21"/>
                <w:szCs w:val="21"/>
              </w:rPr>
              <w:t>Shabbat ,</w:t>
            </w:r>
            <w:r>
              <w:rPr>
                <w:bCs/>
                <w:sz w:val="21"/>
                <w:szCs w:val="21"/>
              </w:rPr>
              <w:t xml:space="preserve"> Holy, blessings, Challah bread, </w:t>
            </w:r>
            <w:r w:rsidR="00FE2725">
              <w:rPr>
                <w:bCs/>
                <w:sz w:val="21"/>
                <w:szCs w:val="21"/>
              </w:rPr>
              <w:t xml:space="preserve">God, </w:t>
            </w:r>
            <w:r>
              <w:rPr>
                <w:bCs/>
                <w:sz w:val="21"/>
                <w:szCs w:val="21"/>
              </w:rPr>
              <w:t>temple</w:t>
            </w:r>
            <w:r w:rsidR="00FE2725">
              <w:rPr>
                <w:bCs/>
                <w:sz w:val="21"/>
                <w:szCs w:val="21"/>
              </w:rPr>
              <w:t>, synagogue</w:t>
            </w:r>
            <w:r>
              <w:rPr>
                <w:bCs/>
                <w:sz w:val="21"/>
                <w:szCs w:val="21"/>
              </w:rPr>
              <w:t>, family</w:t>
            </w: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7F3492" w:rsidRPr="007F3492" w:rsidRDefault="007F3492" w:rsidP="007F3492">
            <w:pPr>
              <w:pStyle w:val="ListParagraph"/>
              <w:numPr>
                <w:ilvl w:val="0"/>
                <w:numId w:val="10"/>
              </w:numPr>
              <w:rPr>
                <w:sz w:val="21"/>
                <w:szCs w:val="21"/>
              </w:rPr>
            </w:pPr>
            <w:r>
              <w:rPr>
                <w:sz w:val="21"/>
                <w:szCs w:val="21"/>
              </w:rPr>
              <w:t xml:space="preserve">To </w:t>
            </w:r>
            <w:r w:rsidRPr="007F3492">
              <w:rPr>
                <w:sz w:val="18"/>
                <w:szCs w:val="18"/>
              </w:rPr>
              <w:t>talk</w:t>
            </w:r>
            <w:r w:rsidRPr="007F3492">
              <w:rPr>
                <w:sz w:val="21"/>
                <w:szCs w:val="21"/>
              </w:rPr>
              <w:t xml:space="preserve"> about how keeping the Sabbath day holy might influence a Jewish person</w:t>
            </w:r>
          </w:p>
          <w:p w:rsidR="007F3492" w:rsidRPr="007F3492" w:rsidRDefault="007F3492" w:rsidP="007F3492">
            <w:pPr>
              <w:pStyle w:val="ListParagraph"/>
              <w:numPr>
                <w:ilvl w:val="0"/>
                <w:numId w:val="10"/>
              </w:numPr>
              <w:rPr>
                <w:sz w:val="21"/>
                <w:szCs w:val="21"/>
              </w:rPr>
            </w:pPr>
            <w:r>
              <w:rPr>
                <w:sz w:val="21"/>
                <w:szCs w:val="21"/>
              </w:rPr>
              <w:t xml:space="preserve">To </w:t>
            </w:r>
            <w:r w:rsidRPr="007F3492">
              <w:rPr>
                <w:sz w:val="21"/>
                <w:szCs w:val="21"/>
              </w:rPr>
              <w:t>talk about how the Sabbath is a way of making time for God and family</w:t>
            </w:r>
          </w:p>
          <w:p w:rsidR="00A51FFD" w:rsidRPr="007F3492" w:rsidRDefault="007F3492" w:rsidP="007F3492">
            <w:pPr>
              <w:pStyle w:val="ListParagraph"/>
              <w:numPr>
                <w:ilvl w:val="0"/>
                <w:numId w:val="10"/>
              </w:numPr>
              <w:rPr>
                <w:sz w:val="21"/>
                <w:szCs w:val="21"/>
              </w:rPr>
            </w:pPr>
            <w:r>
              <w:rPr>
                <w:sz w:val="21"/>
                <w:szCs w:val="21"/>
              </w:rPr>
              <w:t xml:space="preserve">To </w:t>
            </w:r>
            <w:r w:rsidRPr="007F3492">
              <w:rPr>
                <w:sz w:val="21"/>
                <w:szCs w:val="21"/>
              </w:rPr>
              <w:t>know about the Jewish tradition of Friday night dinner</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7F3492" w:rsidRPr="007F3492" w:rsidRDefault="009670D4" w:rsidP="007F3492">
            <w:pPr>
              <w:pStyle w:val="ListParagraph"/>
              <w:numPr>
                <w:ilvl w:val="0"/>
                <w:numId w:val="8"/>
              </w:numPr>
              <w:rPr>
                <w:sz w:val="21"/>
                <w:szCs w:val="21"/>
              </w:rPr>
            </w:pPr>
            <w:r>
              <w:rPr>
                <w:sz w:val="21"/>
                <w:szCs w:val="21"/>
              </w:rPr>
              <w:t xml:space="preserve">To </w:t>
            </w:r>
            <w:r w:rsidR="009B6226">
              <w:rPr>
                <w:sz w:val="21"/>
                <w:szCs w:val="21"/>
              </w:rPr>
              <w:t>talk</w:t>
            </w:r>
            <w:r w:rsidR="007F3492" w:rsidRPr="007F3492">
              <w:rPr>
                <w:sz w:val="21"/>
                <w:szCs w:val="21"/>
              </w:rPr>
              <w:t xml:space="preserve"> about why some people are particularly special to us</w:t>
            </w:r>
          </w:p>
          <w:p w:rsidR="00A51FFD" w:rsidRPr="007F3492" w:rsidRDefault="007F3492" w:rsidP="007F3492">
            <w:pPr>
              <w:pStyle w:val="ListParagraph"/>
              <w:numPr>
                <w:ilvl w:val="0"/>
                <w:numId w:val="8"/>
              </w:numPr>
              <w:rPr>
                <w:sz w:val="21"/>
                <w:szCs w:val="21"/>
              </w:rPr>
            </w:pPr>
            <w:r>
              <w:rPr>
                <w:sz w:val="21"/>
                <w:szCs w:val="21"/>
              </w:rPr>
              <w:t xml:space="preserve">To </w:t>
            </w:r>
            <w:r w:rsidRPr="007F3492">
              <w:rPr>
                <w:sz w:val="21"/>
                <w:szCs w:val="21"/>
              </w:rPr>
              <w:t>suggest how and why it is important to make time for the people who really matter in our lives</w:t>
            </w:r>
          </w:p>
        </w:tc>
        <w:tc>
          <w:tcPr>
            <w:tcW w:w="4678" w:type="dxa"/>
            <w:vMerge w:val="restart"/>
          </w:tcPr>
          <w:p w:rsidR="00C6712F" w:rsidRDefault="009B6226" w:rsidP="00AC5B82">
            <w:pPr>
              <w:rPr>
                <w:sz w:val="21"/>
                <w:szCs w:val="21"/>
              </w:rPr>
            </w:pPr>
            <w:r>
              <w:rPr>
                <w:noProof/>
                <w:lang w:eastAsia="en-GB"/>
              </w:rPr>
              <w:drawing>
                <wp:inline distT="0" distB="0" distL="0" distR="0" wp14:anchorId="4596274E" wp14:editId="0DFBD305">
                  <wp:extent cx="1500745" cy="70104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8610" cy="704714"/>
                          </a:xfrm>
                          <a:prstGeom prst="rect">
                            <a:avLst/>
                          </a:prstGeom>
                        </pic:spPr>
                      </pic:pic>
                    </a:graphicData>
                  </a:graphic>
                </wp:inline>
              </w:drawing>
            </w:r>
          </w:p>
          <w:p w:rsidR="009B6226" w:rsidRDefault="009B6226" w:rsidP="00AC5B82">
            <w:pPr>
              <w:rPr>
                <w:sz w:val="21"/>
                <w:szCs w:val="21"/>
              </w:rPr>
            </w:pPr>
            <w:r>
              <w:rPr>
                <w:sz w:val="21"/>
                <w:szCs w:val="21"/>
              </w:rPr>
              <w:t>Menorah Synagogue</w:t>
            </w:r>
          </w:p>
          <w:p w:rsidR="007F3492" w:rsidRPr="008D66BB" w:rsidRDefault="007F3492" w:rsidP="007F3492">
            <w:pPr>
              <w:rPr>
                <w:sz w:val="21"/>
                <w:szCs w:val="21"/>
              </w:rPr>
            </w:pPr>
          </w:p>
          <w:p w:rsidR="008462DC" w:rsidRDefault="009B6226" w:rsidP="00AC5B82">
            <w:pPr>
              <w:rPr>
                <w:sz w:val="21"/>
                <w:szCs w:val="21"/>
              </w:rPr>
            </w:pPr>
            <w:r>
              <w:rPr>
                <w:noProof/>
                <w:lang w:eastAsia="en-GB"/>
              </w:rPr>
              <w:drawing>
                <wp:inline distT="0" distB="0" distL="0" distR="0" wp14:anchorId="008E413C" wp14:editId="213FAA56">
                  <wp:extent cx="1143000" cy="117417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0007" cy="1181371"/>
                          </a:xfrm>
                          <a:prstGeom prst="rect">
                            <a:avLst/>
                          </a:prstGeom>
                        </pic:spPr>
                      </pic:pic>
                    </a:graphicData>
                  </a:graphic>
                </wp:inline>
              </w:drawing>
            </w:r>
          </w:p>
          <w:p w:rsidR="009B6226" w:rsidRDefault="009B6226" w:rsidP="00AC5B82">
            <w:pPr>
              <w:rPr>
                <w:sz w:val="21"/>
                <w:szCs w:val="21"/>
              </w:rPr>
            </w:pPr>
            <w:r>
              <w:rPr>
                <w:sz w:val="21"/>
                <w:szCs w:val="21"/>
              </w:rPr>
              <w:t>Rabbi</w:t>
            </w:r>
            <w:r w:rsidRPr="009B6226">
              <w:rPr>
                <w:rFonts w:ascii="Arial" w:hAnsi="Arial" w:cs="Arial"/>
                <w:color w:val="666666"/>
                <w:shd w:val="clear" w:color="auto" w:fill="FFFFFF"/>
              </w:rPr>
              <w:t xml:space="preserve"> </w:t>
            </w:r>
            <w:r w:rsidRPr="009B6226">
              <w:rPr>
                <w:sz w:val="21"/>
                <w:szCs w:val="21"/>
              </w:rPr>
              <w:t>Fabian Sborovsky </w:t>
            </w:r>
          </w:p>
          <w:p w:rsidR="002A0CB3" w:rsidRDefault="002A0CB3" w:rsidP="00AC5B82">
            <w:pPr>
              <w:rPr>
                <w:sz w:val="21"/>
                <w:szCs w:val="21"/>
              </w:rPr>
            </w:pPr>
          </w:p>
          <w:p w:rsidR="002A0CB3" w:rsidRDefault="002A0CB3" w:rsidP="00AC5B82">
            <w:pPr>
              <w:rPr>
                <w:sz w:val="21"/>
                <w:szCs w:val="21"/>
              </w:rPr>
            </w:pPr>
            <w:r>
              <w:rPr>
                <w:noProof/>
                <w:lang w:eastAsia="en-GB"/>
              </w:rPr>
              <w:drawing>
                <wp:inline distT="0" distB="0" distL="0" distR="0" wp14:anchorId="05131D95" wp14:editId="2FEF3605">
                  <wp:extent cx="1478849" cy="8610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94264" cy="870035"/>
                          </a:xfrm>
                          <a:prstGeom prst="rect">
                            <a:avLst/>
                          </a:prstGeom>
                        </pic:spPr>
                      </pic:pic>
                    </a:graphicData>
                  </a:graphic>
                </wp:inline>
              </w:drawing>
            </w:r>
          </w:p>
          <w:p w:rsidR="002A0CB3" w:rsidRPr="008D66BB" w:rsidRDefault="002A0CB3" w:rsidP="00AC5B82">
            <w:pPr>
              <w:rPr>
                <w:sz w:val="21"/>
                <w:szCs w:val="21"/>
              </w:rPr>
            </w:pPr>
            <w:r>
              <w:rPr>
                <w:sz w:val="21"/>
                <w:szCs w:val="21"/>
              </w:rPr>
              <w:t>Mount Sinai – where Moses was given the ten commandments</w:t>
            </w: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9B6226" w:rsidRPr="009B6226" w:rsidRDefault="009B6226" w:rsidP="009B6226">
            <w:pPr>
              <w:pStyle w:val="ListParagraph"/>
              <w:numPr>
                <w:ilvl w:val="0"/>
                <w:numId w:val="24"/>
              </w:numPr>
              <w:rPr>
                <w:sz w:val="21"/>
                <w:szCs w:val="21"/>
              </w:rPr>
            </w:pPr>
            <w:r>
              <w:rPr>
                <w:sz w:val="21"/>
                <w:szCs w:val="21"/>
              </w:rPr>
              <w:t xml:space="preserve">To </w:t>
            </w:r>
            <w:r w:rsidRPr="009B6226">
              <w:rPr>
                <w:sz w:val="21"/>
                <w:szCs w:val="21"/>
              </w:rPr>
              <w:t>talk about the people who are special to them and identify the importance of these relationships in their lives</w:t>
            </w:r>
          </w:p>
          <w:p w:rsidR="00A51FFD" w:rsidRPr="009B6226" w:rsidRDefault="009B6226" w:rsidP="009B6226">
            <w:pPr>
              <w:pStyle w:val="ListParagraph"/>
              <w:numPr>
                <w:ilvl w:val="0"/>
                <w:numId w:val="24"/>
              </w:numPr>
              <w:rPr>
                <w:sz w:val="21"/>
                <w:szCs w:val="21"/>
              </w:rPr>
            </w:pPr>
            <w:r>
              <w:rPr>
                <w:sz w:val="21"/>
                <w:szCs w:val="21"/>
              </w:rPr>
              <w:t xml:space="preserve">To </w:t>
            </w:r>
            <w:r w:rsidRPr="009B6226">
              <w:rPr>
                <w:sz w:val="21"/>
                <w:szCs w:val="21"/>
              </w:rPr>
              <w:t>give examples of why it is important to spend quality time with the people who matter</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C6712F" w:rsidRDefault="009B6226" w:rsidP="00AC5B82">
            <w:pPr>
              <w:rPr>
                <w:sz w:val="21"/>
                <w:szCs w:val="21"/>
              </w:rPr>
            </w:pPr>
            <w:r>
              <w:rPr>
                <w:noProof/>
                <w:lang w:eastAsia="en-GB"/>
              </w:rPr>
              <w:drawing>
                <wp:inline distT="0" distB="0" distL="0" distR="0" wp14:anchorId="60DF4FDF" wp14:editId="5EBBEA86">
                  <wp:extent cx="1630571" cy="7391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9680" cy="743269"/>
                          </a:xfrm>
                          <a:prstGeom prst="rect">
                            <a:avLst/>
                          </a:prstGeom>
                        </pic:spPr>
                      </pic:pic>
                    </a:graphicData>
                  </a:graphic>
                </wp:inline>
              </w:drawing>
            </w:r>
          </w:p>
          <w:p w:rsidR="00AC5B82" w:rsidRPr="00AC5B82" w:rsidRDefault="00AC5B82" w:rsidP="00AC5B82">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9B6226" w:rsidRDefault="002A0CB3" w:rsidP="00AC5B82">
            <w:pPr>
              <w:rPr>
                <w:sz w:val="21"/>
                <w:szCs w:val="21"/>
              </w:rPr>
            </w:pPr>
            <w:r>
              <w:rPr>
                <w:sz w:val="21"/>
                <w:szCs w:val="21"/>
              </w:rPr>
              <w:t xml:space="preserve">Moses and the ten commandments -  </w:t>
            </w:r>
          </w:p>
          <w:p w:rsidR="002A0CB3" w:rsidRDefault="002A0CB3" w:rsidP="00AC5B82">
            <w:pPr>
              <w:rPr>
                <w:sz w:val="21"/>
                <w:szCs w:val="21"/>
              </w:rPr>
            </w:pPr>
            <w:hyperlink r:id="rId12" w:history="1">
              <w:r w:rsidRPr="00B136E1">
                <w:rPr>
                  <w:rStyle w:val="Hyperlink"/>
                  <w:sz w:val="21"/>
                  <w:szCs w:val="21"/>
                </w:rPr>
                <w:t>https://www.youtube.com/watch?v=yHKFvxgQOFI</w:t>
              </w:r>
            </w:hyperlink>
            <w:r>
              <w:rPr>
                <w:sz w:val="21"/>
                <w:szCs w:val="21"/>
              </w:rPr>
              <w:t xml:space="preserve"> </w:t>
            </w:r>
          </w:p>
          <w:p w:rsidR="009B6226" w:rsidRDefault="009B6226" w:rsidP="00AC5B82">
            <w:pPr>
              <w:rPr>
                <w:sz w:val="21"/>
                <w:szCs w:val="21"/>
              </w:rPr>
            </w:pPr>
            <w:r w:rsidRPr="009B6226">
              <w:rPr>
                <w:sz w:val="21"/>
                <w:szCs w:val="21"/>
              </w:rPr>
              <w:t xml:space="preserve">Watch </w:t>
            </w:r>
            <w:hyperlink r:id="rId13" w:history="1">
              <w:r w:rsidRPr="009B6226">
                <w:rPr>
                  <w:rStyle w:val="Hyperlink"/>
                  <w:sz w:val="21"/>
                  <w:szCs w:val="21"/>
                </w:rPr>
                <w:t>https://www.bbc.co.uk/bitesize/clips/z3hyr82</w:t>
              </w:r>
            </w:hyperlink>
            <w:r w:rsidRPr="009B6226">
              <w:rPr>
                <w:sz w:val="21"/>
                <w:szCs w:val="21"/>
              </w:rPr>
              <w:t xml:space="preserve"> and discuss how the Sabbath is kept holy in a Jewish Household.</w:t>
            </w:r>
          </w:p>
          <w:p w:rsidR="009B6226" w:rsidRDefault="009B6226" w:rsidP="00AC5B82">
            <w:pPr>
              <w:rPr>
                <w:sz w:val="21"/>
                <w:szCs w:val="21"/>
              </w:rPr>
            </w:pPr>
            <w:r w:rsidRPr="009B6226">
              <w:rPr>
                <w:sz w:val="21"/>
                <w:szCs w:val="21"/>
              </w:rPr>
              <w:t xml:space="preserve">Watch the beginning of  </w:t>
            </w:r>
            <w:hyperlink r:id="rId14" w:history="1">
              <w:r w:rsidRPr="009B6226">
                <w:rPr>
                  <w:rStyle w:val="Hyperlink"/>
                  <w:sz w:val="21"/>
                  <w:szCs w:val="21"/>
                </w:rPr>
                <w:t>https://www.youtube.com/watch?v=yHKFvxgQOFI</w:t>
              </w:r>
            </w:hyperlink>
            <w:r w:rsidRPr="009B6226">
              <w:rPr>
                <w:sz w:val="21"/>
                <w:szCs w:val="21"/>
              </w:rPr>
              <w:t xml:space="preserve"> Discuss Moses’ trust in God and how he followed his instructions.</w:t>
            </w:r>
          </w:p>
          <w:p w:rsidR="00C6712F" w:rsidRPr="00AC5B82" w:rsidRDefault="00C6712F" w:rsidP="008E5120">
            <w:pPr>
              <w:rPr>
                <w:sz w:val="21"/>
                <w:szCs w:val="21"/>
              </w:rPr>
            </w:pPr>
          </w:p>
        </w:tc>
        <w:tc>
          <w:tcPr>
            <w:tcW w:w="4678" w:type="dxa"/>
            <w:vMerge/>
          </w:tcPr>
          <w:p w:rsidR="00B07BE3" w:rsidRPr="008D66BB" w:rsidRDefault="00B07BE3" w:rsidP="00B07BE3">
            <w:pPr>
              <w:rPr>
                <w:sz w:val="21"/>
                <w:szCs w:val="21"/>
              </w:rPr>
            </w:pPr>
          </w:p>
        </w:tc>
      </w:tr>
      <w:tr w:rsidR="00C6712F" w:rsidRPr="008D66BB" w:rsidTr="001931F3">
        <w:trPr>
          <w:trHeight w:val="1026"/>
        </w:trPr>
        <w:tc>
          <w:tcPr>
            <w:tcW w:w="6062" w:type="dxa"/>
          </w:tcPr>
          <w:p w:rsidR="00C6712F" w:rsidRDefault="00C6712F" w:rsidP="00AC5B82">
            <w:pPr>
              <w:rPr>
                <w:sz w:val="21"/>
                <w:szCs w:val="21"/>
              </w:rPr>
            </w:pPr>
            <w:r>
              <w:rPr>
                <w:sz w:val="21"/>
                <w:szCs w:val="21"/>
              </w:rPr>
              <w:t>Enrichment:</w:t>
            </w:r>
          </w:p>
          <w:p w:rsidR="00C6712F" w:rsidRPr="00FE2725" w:rsidRDefault="00FE2725" w:rsidP="00FE2725">
            <w:pPr>
              <w:pStyle w:val="ListParagraph"/>
              <w:numPr>
                <w:ilvl w:val="0"/>
                <w:numId w:val="27"/>
              </w:numPr>
              <w:rPr>
                <w:sz w:val="21"/>
                <w:szCs w:val="21"/>
              </w:rPr>
            </w:pPr>
            <w:r>
              <w:rPr>
                <w:sz w:val="21"/>
                <w:szCs w:val="21"/>
              </w:rPr>
              <w:t>Ask parents to come and speak to children about the importance of how the Sabbath is a way of making time for God and family.</w:t>
            </w:r>
            <w:bookmarkStart w:id="0" w:name="_GoBack"/>
            <w:bookmarkEnd w:id="0"/>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1E" w:rsidRDefault="00A4201E" w:rsidP="000720EE">
      <w:pPr>
        <w:spacing w:after="0" w:line="240" w:lineRule="auto"/>
      </w:pPr>
      <w:r>
        <w:separator/>
      </w:r>
    </w:p>
  </w:endnote>
  <w:endnote w:type="continuationSeparator" w:id="0">
    <w:p w:rsidR="00A4201E" w:rsidRDefault="00A4201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1E" w:rsidRDefault="00A4201E" w:rsidP="000720EE">
      <w:pPr>
        <w:spacing w:after="0" w:line="240" w:lineRule="auto"/>
      </w:pPr>
      <w:r>
        <w:separator/>
      </w:r>
    </w:p>
  </w:footnote>
  <w:footnote w:type="continuationSeparator" w:id="0">
    <w:p w:rsidR="00A4201E" w:rsidRDefault="00A4201E" w:rsidP="0007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1"/>
  </w:num>
  <w:num w:numId="4">
    <w:abstractNumId w:val="11"/>
  </w:num>
  <w:num w:numId="5">
    <w:abstractNumId w:val="29"/>
  </w:num>
  <w:num w:numId="6">
    <w:abstractNumId w:val="12"/>
  </w:num>
  <w:num w:numId="7">
    <w:abstractNumId w:val="2"/>
  </w:num>
  <w:num w:numId="8">
    <w:abstractNumId w:val="28"/>
  </w:num>
  <w:num w:numId="9">
    <w:abstractNumId w:val="17"/>
  </w:num>
  <w:num w:numId="10">
    <w:abstractNumId w:val="3"/>
  </w:num>
  <w:num w:numId="11">
    <w:abstractNumId w:val="9"/>
  </w:num>
  <w:num w:numId="12">
    <w:abstractNumId w:val="13"/>
  </w:num>
  <w:num w:numId="13">
    <w:abstractNumId w:val="18"/>
  </w:num>
  <w:num w:numId="14">
    <w:abstractNumId w:val="24"/>
  </w:num>
  <w:num w:numId="15">
    <w:abstractNumId w:val="0"/>
  </w:num>
  <w:num w:numId="16">
    <w:abstractNumId w:val="30"/>
  </w:num>
  <w:num w:numId="17">
    <w:abstractNumId w:val="10"/>
  </w:num>
  <w:num w:numId="18">
    <w:abstractNumId w:val="16"/>
  </w:num>
  <w:num w:numId="19">
    <w:abstractNumId w:val="4"/>
  </w:num>
  <w:num w:numId="20">
    <w:abstractNumId w:val="7"/>
  </w:num>
  <w:num w:numId="21">
    <w:abstractNumId w:val="31"/>
  </w:num>
  <w:num w:numId="22">
    <w:abstractNumId w:val="25"/>
  </w:num>
  <w:num w:numId="23">
    <w:abstractNumId w:val="21"/>
  </w:num>
  <w:num w:numId="24">
    <w:abstractNumId w:val="33"/>
  </w:num>
  <w:num w:numId="25">
    <w:abstractNumId w:val="8"/>
  </w:num>
  <w:num w:numId="26">
    <w:abstractNumId w:val="19"/>
  </w:num>
  <w:num w:numId="27">
    <w:abstractNumId w:val="15"/>
  </w:num>
  <w:num w:numId="28">
    <w:abstractNumId w:val="14"/>
  </w:num>
  <w:num w:numId="29">
    <w:abstractNumId w:val="22"/>
  </w:num>
  <w:num w:numId="30">
    <w:abstractNumId w:val="32"/>
  </w:num>
  <w:num w:numId="31">
    <w:abstractNumId w:val="23"/>
  </w:num>
  <w:num w:numId="32">
    <w:abstractNumId w:val="2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0E75C5"/>
    <w:rsid w:val="00102DD8"/>
    <w:rsid w:val="00110F2C"/>
    <w:rsid w:val="001203B6"/>
    <w:rsid w:val="001455D4"/>
    <w:rsid w:val="001931F3"/>
    <w:rsid w:val="001C4669"/>
    <w:rsid w:val="00262ADE"/>
    <w:rsid w:val="002A0CB3"/>
    <w:rsid w:val="003135A2"/>
    <w:rsid w:val="0035047C"/>
    <w:rsid w:val="00422028"/>
    <w:rsid w:val="00491558"/>
    <w:rsid w:val="00533BEA"/>
    <w:rsid w:val="006E1F29"/>
    <w:rsid w:val="007349A3"/>
    <w:rsid w:val="007717FD"/>
    <w:rsid w:val="007E7E1A"/>
    <w:rsid w:val="007F3492"/>
    <w:rsid w:val="00811ED2"/>
    <w:rsid w:val="008462DC"/>
    <w:rsid w:val="008464C6"/>
    <w:rsid w:val="008D66BB"/>
    <w:rsid w:val="008E5120"/>
    <w:rsid w:val="009137C1"/>
    <w:rsid w:val="009458CF"/>
    <w:rsid w:val="0096471D"/>
    <w:rsid w:val="009670D4"/>
    <w:rsid w:val="009B2F2E"/>
    <w:rsid w:val="009B6226"/>
    <w:rsid w:val="009D4D68"/>
    <w:rsid w:val="009E46F4"/>
    <w:rsid w:val="009F3919"/>
    <w:rsid w:val="00A4201E"/>
    <w:rsid w:val="00A45DF0"/>
    <w:rsid w:val="00A51FFD"/>
    <w:rsid w:val="00A9019D"/>
    <w:rsid w:val="00A92975"/>
    <w:rsid w:val="00AC46BF"/>
    <w:rsid w:val="00AC5B82"/>
    <w:rsid w:val="00B07BE3"/>
    <w:rsid w:val="00B44AFF"/>
    <w:rsid w:val="00B539E9"/>
    <w:rsid w:val="00BD6717"/>
    <w:rsid w:val="00BF426C"/>
    <w:rsid w:val="00C6712F"/>
    <w:rsid w:val="00CF1EDF"/>
    <w:rsid w:val="00CF57DB"/>
    <w:rsid w:val="00D174ED"/>
    <w:rsid w:val="00D306FC"/>
    <w:rsid w:val="00E0438B"/>
    <w:rsid w:val="00E24CFF"/>
    <w:rsid w:val="00E3290E"/>
    <w:rsid w:val="00E33707"/>
    <w:rsid w:val="00E63029"/>
    <w:rsid w:val="00E748FF"/>
    <w:rsid w:val="00EB070E"/>
    <w:rsid w:val="00EB3E1A"/>
    <w:rsid w:val="00F934E2"/>
    <w:rsid w:val="00FA6750"/>
    <w:rsid w:val="00FE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5A5F"/>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clips/z3hyr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HKFvxgQO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yHKFvxgQ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8AA3-38F4-4039-AAEA-B9BAE1EF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Kate Blundell</cp:lastModifiedBy>
  <cp:revision>2</cp:revision>
  <dcterms:created xsi:type="dcterms:W3CDTF">2021-09-02T13:27:00Z</dcterms:created>
  <dcterms:modified xsi:type="dcterms:W3CDTF">2021-09-02T13:27:00Z</dcterms:modified>
</cp:coreProperties>
</file>