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A53" w:rsidRPr="008D66BB" w:rsidRDefault="009C3A53" w:rsidP="009C3A53">
      <w:pPr>
        <w:jc w:val="center"/>
        <w:rPr>
          <w:sz w:val="21"/>
          <w:szCs w:val="21"/>
          <w:u w:val="single"/>
        </w:rPr>
      </w:pPr>
      <w:r>
        <w:rPr>
          <w:u w:val="single"/>
        </w:rPr>
        <w:t xml:space="preserve">Year 1 RE </w:t>
      </w:r>
      <w:r>
        <w:rPr>
          <w:u w:val="single"/>
        </w:rPr>
        <w:t xml:space="preserve">– Judaism </w:t>
      </w:r>
    </w:p>
    <w:tbl>
      <w:tblPr>
        <w:tblStyle w:val="TableGrid"/>
        <w:tblW w:w="10740" w:type="dxa"/>
        <w:tblLook w:val="04A0" w:firstRow="1" w:lastRow="0" w:firstColumn="1" w:lastColumn="0" w:noHBand="0" w:noVBand="1"/>
      </w:tblPr>
      <w:tblGrid>
        <w:gridCol w:w="10740"/>
      </w:tblGrid>
      <w:tr w:rsidR="009C3A53" w:rsidRPr="008D66BB" w:rsidTr="00A67816">
        <w:tc>
          <w:tcPr>
            <w:tcW w:w="10740" w:type="dxa"/>
          </w:tcPr>
          <w:p w:rsidR="009C3A53" w:rsidRPr="009C3A53" w:rsidRDefault="009C3A53" w:rsidP="009C3A53">
            <w:pPr>
              <w:rPr>
                <w:rFonts w:cs="Arial"/>
                <w:b/>
              </w:rPr>
            </w:pPr>
            <w:r>
              <w:rPr>
                <w:sz w:val="21"/>
                <w:szCs w:val="21"/>
                <w:u w:val="single"/>
              </w:rPr>
              <w:t xml:space="preserve">Curriculum Aims: </w:t>
            </w:r>
            <w:r w:rsidRPr="009C3A53">
              <w:rPr>
                <w:rFonts w:cs="Arial"/>
                <w:b/>
                <w:sz w:val="24"/>
                <w:szCs w:val="24"/>
              </w:rPr>
              <w:t xml:space="preserve">Focus Question:  </w:t>
            </w:r>
            <w:r w:rsidRPr="009C3A53">
              <w:rPr>
                <w:rFonts w:cs="Arial"/>
                <w:b/>
              </w:rPr>
              <w:t>Why might some people put their trust in God?</w:t>
            </w:r>
          </w:p>
          <w:p w:rsidR="009C3A53" w:rsidRPr="007D7336" w:rsidRDefault="009C3A53" w:rsidP="00BB544B">
            <w:pPr>
              <w:spacing w:after="160" w:line="259" w:lineRule="auto"/>
              <w:rPr>
                <w:sz w:val="21"/>
                <w:szCs w:val="21"/>
                <w:u w:val="single"/>
              </w:rPr>
            </w:pPr>
            <w:r w:rsidRPr="009C3A53">
              <w:rPr>
                <w:rFonts w:cs="Arial"/>
              </w:rPr>
              <w:t>In this unit, children will have the opportunity to explore Jewish beliefs about God, with a focus on why religious people put their trust in God and how this might be expressed.They will learn about the story of Noah and the symbol of the rainbow as God’s promise never to send a flood to destroy the world again. They will investigate the festival of Sukkot as an annual reminder to the Jewish community to be thankful to God for all he has done.</w:t>
            </w:r>
            <w:r w:rsidR="00BB544B">
              <w:rPr>
                <w:rFonts w:cs="Arial"/>
              </w:rPr>
              <w:t xml:space="preserve"> </w:t>
            </w:r>
            <w:r w:rsidRPr="009C3A53">
              <w:rPr>
                <w:rFonts w:cs="Arial"/>
              </w:rPr>
              <w:t>Pupils will also have opportunities to talk about why promises and trust are an important aspect of human life. They will think about how we know whether or not people are trustworthy and reflect on their own values about the importance of being someone who is trusted by others.</w:t>
            </w:r>
          </w:p>
        </w:tc>
      </w:tr>
      <w:tr w:rsidR="009C3A53" w:rsidRPr="008D66BB" w:rsidTr="00A67816">
        <w:tc>
          <w:tcPr>
            <w:tcW w:w="10740" w:type="dxa"/>
          </w:tcPr>
          <w:p w:rsidR="009C3A53" w:rsidRPr="008D66BB" w:rsidRDefault="009C3A53" w:rsidP="00A67816">
            <w:pPr>
              <w:rPr>
                <w:sz w:val="21"/>
                <w:szCs w:val="21"/>
                <w:u w:val="single"/>
              </w:rPr>
            </w:pPr>
            <w:r w:rsidRPr="008D66BB">
              <w:rPr>
                <w:sz w:val="21"/>
                <w:szCs w:val="21"/>
                <w:u w:val="single"/>
              </w:rPr>
              <w:t>Prior Learning:</w:t>
            </w:r>
            <w:r>
              <w:rPr>
                <w:sz w:val="21"/>
                <w:szCs w:val="21"/>
              </w:rPr>
              <w:t xml:space="preserve"> </w:t>
            </w:r>
            <w:r>
              <w:t>They know about similarities and differences between themselves and others, and among families, communities and traditions.</w:t>
            </w:r>
          </w:p>
        </w:tc>
      </w:tr>
    </w:tbl>
    <w:tbl>
      <w:tblPr>
        <w:tblStyle w:val="TableGrid"/>
        <w:tblpPr w:leftFromText="180" w:rightFromText="180" w:vertAnchor="text" w:horzAnchor="margin" w:tblpY="254"/>
        <w:tblW w:w="10740" w:type="dxa"/>
        <w:tblLayout w:type="fixed"/>
        <w:tblLook w:val="04A0" w:firstRow="1" w:lastRow="0" w:firstColumn="1" w:lastColumn="0" w:noHBand="0" w:noVBand="1"/>
      </w:tblPr>
      <w:tblGrid>
        <w:gridCol w:w="6062"/>
        <w:gridCol w:w="4678"/>
      </w:tblGrid>
      <w:tr w:rsidR="009C3A53" w:rsidRPr="008D66BB" w:rsidTr="00A67816">
        <w:tc>
          <w:tcPr>
            <w:tcW w:w="6062" w:type="dxa"/>
          </w:tcPr>
          <w:p w:rsidR="009C3A53" w:rsidRPr="00AC5B82" w:rsidRDefault="009C3A53" w:rsidP="00A67816">
            <w:pPr>
              <w:rPr>
                <w:b/>
                <w:sz w:val="21"/>
                <w:szCs w:val="21"/>
              </w:rPr>
            </w:pPr>
            <w:r w:rsidRPr="00AC5B82">
              <w:rPr>
                <w:b/>
                <w:sz w:val="21"/>
                <w:szCs w:val="21"/>
              </w:rPr>
              <w:t>Facts</w:t>
            </w:r>
          </w:p>
        </w:tc>
        <w:tc>
          <w:tcPr>
            <w:tcW w:w="4678" w:type="dxa"/>
          </w:tcPr>
          <w:p w:rsidR="009C3A53" w:rsidRPr="008D66BB" w:rsidRDefault="009C3A53" w:rsidP="00A67816">
            <w:pPr>
              <w:rPr>
                <w:sz w:val="21"/>
                <w:szCs w:val="21"/>
              </w:rPr>
            </w:pPr>
            <w:r w:rsidRPr="008D66BB">
              <w:rPr>
                <w:sz w:val="21"/>
                <w:szCs w:val="21"/>
              </w:rPr>
              <w:t>Vocabulary</w:t>
            </w:r>
          </w:p>
        </w:tc>
      </w:tr>
      <w:tr w:rsidR="009C3A53" w:rsidRPr="008D66BB" w:rsidTr="00A67816">
        <w:trPr>
          <w:trHeight w:val="1319"/>
        </w:trPr>
        <w:tc>
          <w:tcPr>
            <w:tcW w:w="6062" w:type="dxa"/>
          </w:tcPr>
          <w:p w:rsidR="009C3A53" w:rsidRPr="009670D4" w:rsidRDefault="009C3A53" w:rsidP="00A67816">
            <w:pPr>
              <w:pStyle w:val="ListParagraph"/>
              <w:numPr>
                <w:ilvl w:val="0"/>
                <w:numId w:val="4"/>
              </w:numPr>
              <w:spacing w:after="0" w:line="240" w:lineRule="auto"/>
              <w:rPr>
                <w:b/>
                <w:sz w:val="21"/>
                <w:szCs w:val="21"/>
              </w:rPr>
            </w:pPr>
            <w:r w:rsidRPr="009670D4">
              <w:rPr>
                <w:b/>
                <w:sz w:val="21"/>
                <w:szCs w:val="21"/>
              </w:rPr>
              <w:t>Beliefs &amp; Values</w:t>
            </w:r>
          </w:p>
          <w:p w:rsidR="009C3A53" w:rsidRPr="009C3A53" w:rsidRDefault="009C3A53" w:rsidP="009C3A53">
            <w:pPr>
              <w:pStyle w:val="ListParagraph"/>
              <w:numPr>
                <w:ilvl w:val="0"/>
                <w:numId w:val="7"/>
              </w:numPr>
              <w:spacing w:after="0" w:line="240" w:lineRule="auto"/>
              <w:rPr>
                <w:sz w:val="21"/>
                <w:szCs w:val="21"/>
              </w:rPr>
            </w:pPr>
            <w:r w:rsidRPr="009C3A53">
              <w:rPr>
                <w:sz w:val="21"/>
                <w:szCs w:val="21"/>
              </w:rPr>
              <w:t>Give an example of a key belief (ie. that Jews believe in one God) and/or a religious story (the story of Noah and/or Abraham)</w:t>
            </w:r>
          </w:p>
          <w:p w:rsidR="009C3A53" w:rsidRPr="009C3EFB" w:rsidRDefault="009C3A53" w:rsidP="009C3A53">
            <w:pPr>
              <w:pStyle w:val="ListParagraph"/>
              <w:numPr>
                <w:ilvl w:val="0"/>
                <w:numId w:val="7"/>
              </w:numPr>
              <w:spacing w:after="0" w:line="240" w:lineRule="auto"/>
              <w:rPr>
                <w:sz w:val="21"/>
                <w:szCs w:val="21"/>
              </w:rPr>
            </w:pPr>
            <w:r w:rsidRPr="009C3A53">
              <w:rPr>
                <w:sz w:val="21"/>
                <w:szCs w:val="21"/>
              </w:rPr>
              <w:t>Give an example of a core value or commitment (trusting that God will keep his promise</w:t>
            </w:r>
          </w:p>
        </w:tc>
        <w:tc>
          <w:tcPr>
            <w:tcW w:w="4678" w:type="dxa"/>
            <w:vMerge w:val="restart"/>
          </w:tcPr>
          <w:p w:rsidR="009C3A53" w:rsidRPr="009B2F2E" w:rsidRDefault="00BB544B" w:rsidP="00BB544B">
            <w:pPr>
              <w:rPr>
                <w:sz w:val="21"/>
                <w:szCs w:val="21"/>
              </w:rPr>
            </w:pPr>
            <w:r w:rsidRPr="00BB544B">
              <w:rPr>
                <w:sz w:val="21"/>
                <w:szCs w:val="21"/>
              </w:rPr>
              <w:t>Jewish, Noah, Sukkot, celebration, God, promise, trust, Sukkah</w:t>
            </w:r>
          </w:p>
        </w:tc>
      </w:tr>
      <w:tr w:rsidR="009C3A53" w:rsidRPr="008D66BB" w:rsidTr="00A67816">
        <w:trPr>
          <w:trHeight w:val="58"/>
        </w:trPr>
        <w:tc>
          <w:tcPr>
            <w:tcW w:w="6062" w:type="dxa"/>
          </w:tcPr>
          <w:p w:rsidR="009C3A53" w:rsidRPr="009670D4" w:rsidRDefault="009C3A53" w:rsidP="00A67816">
            <w:pPr>
              <w:pStyle w:val="ListParagraph"/>
              <w:numPr>
                <w:ilvl w:val="0"/>
                <w:numId w:val="3"/>
              </w:numPr>
              <w:spacing w:after="0" w:line="240" w:lineRule="auto"/>
              <w:rPr>
                <w:b/>
                <w:sz w:val="21"/>
                <w:szCs w:val="21"/>
              </w:rPr>
            </w:pPr>
            <w:r w:rsidRPr="009670D4">
              <w:rPr>
                <w:b/>
                <w:sz w:val="21"/>
                <w:szCs w:val="21"/>
              </w:rPr>
              <w:t>Living religious traditions</w:t>
            </w:r>
          </w:p>
          <w:p w:rsidR="009C3A53" w:rsidRPr="009C3A53" w:rsidRDefault="009C3A53" w:rsidP="009C3A53">
            <w:pPr>
              <w:pStyle w:val="ListParagraph"/>
              <w:numPr>
                <w:ilvl w:val="0"/>
                <w:numId w:val="2"/>
              </w:numPr>
              <w:spacing w:after="0" w:line="240" w:lineRule="auto"/>
              <w:rPr>
                <w:sz w:val="21"/>
                <w:szCs w:val="21"/>
              </w:rPr>
            </w:pPr>
            <w:r w:rsidRPr="009C3A53">
              <w:rPr>
                <w:sz w:val="21"/>
                <w:szCs w:val="21"/>
              </w:rPr>
              <w:t>Use some religious words and phrases to recognise and name features of religious traditions (eg. Sukkot, festival)</w:t>
            </w:r>
          </w:p>
          <w:p w:rsidR="009C3A53" w:rsidRPr="009C3A53" w:rsidRDefault="009C3A53" w:rsidP="009C3A53">
            <w:pPr>
              <w:pStyle w:val="ListParagraph"/>
              <w:numPr>
                <w:ilvl w:val="0"/>
                <w:numId w:val="2"/>
              </w:numPr>
              <w:spacing w:after="0" w:line="240" w:lineRule="auto"/>
              <w:rPr>
                <w:sz w:val="21"/>
                <w:szCs w:val="21"/>
              </w:rPr>
            </w:pPr>
            <w:r w:rsidRPr="009C3A53">
              <w:rPr>
                <w:sz w:val="21"/>
                <w:szCs w:val="21"/>
              </w:rPr>
              <w:t>Talk about the way that religious beliefs might influence the way a person behaves (eg. like Noah and Abraham, Jewish people should trust that God keeps his promises)</w:t>
            </w:r>
          </w:p>
          <w:p w:rsidR="009C3A53" w:rsidRPr="00AF2D95" w:rsidRDefault="009C3A53" w:rsidP="009C3A53">
            <w:pPr>
              <w:pStyle w:val="ListParagraph"/>
              <w:spacing w:after="0" w:line="240" w:lineRule="auto"/>
              <w:rPr>
                <w:sz w:val="21"/>
                <w:szCs w:val="21"/>
              </w:rPr>
            </w:pPr>
          </w:p>
        </w:tc>
        <w:tc>
          <w:tcPr>
            <w:tcW w:w="4678" w:type="dxa"/>
            <w:vMerge/>
          </w:tcPr>
          <w:p w:rsidR="009C3A53" w:rsidRPr="008D66BB" w:rsidRDefault="009C3A53" w:rsidP="00A67816">
            <w:pPr>
              <w:rPr>
                <w:sz w:val="21"/>
                <w:szCs w:val="21"/>
              </w:rPr>
            </w:pPr>
          </w:p>
        </w:tc>
      </w:tr>
      <w:tr w:rsidR="009C3A53" w:rsidRPr="008D66BB" w:rsidTr="00A67816">
        <w:trPr>
          <w:trHeight w:val="900"/>
        </w:trPr>
        <w:tc>
          <w:tcPr>
            <w:tcW w:w="6062" w:type="dxa"/>
          </w:tcPr>
          <w:p w:rsidR="009C3A53" w:rsidRPr="009670D4" w:rsidRDefault="009C3A53" w:rsidP="00A67816">
            <w:pPr>
              <w:pStyle w:val="ListParagraph"/>
              <w:numPr>
                <w:ilvl w:val="0"/>
                <w:numId w:val="3"/>
              </w:numPr>
              <w:spacing w:after="0" w:line="240" w:lineRule="auto"/>
              <w:rPr>
                <w:b/>
                <w:sz w:val="21"/>
                <w:szCs w:val="21"/>
              </w:rPr>
            </w:pPr>
            <w:r w:rsidRPr="009670D4">
              <w:rPr>
                <w:b/>
                <w:sz w:val="21"/>
                <w:szCs w:val="21"/>
              </w:rPr>
              <w:t>Shared human experiences</w:t>
            </w:r>
          </w:p>
          <w:p w:rsidR="009C3A53" w:rsidRPr="009C3A53" w:rsidRDefault="009C3A53" w:rsidP="009C3A53">
            <w:pPr>
              <w:pStyle w:val="ListParagraph"/>
              <w:numPr>
                <w:ilvl w:val="0"/>
                <w:numId w:val="1"/>
              </w:numPr>
              <w:spacing w:after="0" w:line="240" w:lineRule="auto"/>
              <w:rPr>
                <w:sz w:val="21"/>
                <w:szCs w:val="21"/>
              </w:rPr>
            </w:pPr>
            <w:r w:rsidRPr="009C3A53">
              <w:rPr>
                <w:sz w:val="21"/>
                <w:szCs w:val="21"/>
              </w:rPr>
              <w:t>Notice and show curiosity about people and how they live their lives (finding out about Jewish festivals – thinking about the fact that people celebrate different celebrations in very different ways – eg. Sukkot)</w:t>
            </w:r>
          </w:p>
          <w:p w:rsidR="009C3A53" w:rsidRPr="00544533" w:rsidRDefault="009C3A53" w:rsidP="009C3A53">
            <w:pPr>
              <w:pStyle w:val="ListParagraph"/>
              <w:numPr>
                <w:ilvl w:val="0"/>
                <w:numId w:val="1"/>
              </w:numPr>
              <w:spacing w:after="0" w:line="240" w:lineRule="auto"/>
              <w:rPr>
                <w:sz w:val="21"/>
                <w:szCs w:val="21"/>
              </w:rPr>
            </w:pPr>
            <w:r w:rsidRPr="009C3A53">
              <w:rPr>
                <w:sz w:val="21"/>
                <w:szCs w:val="21"/>
              </w:rPr>
              <w:t>Notice that for many people, trust is an important part of human life</w:t>
            </w:r>
          </w:p>
        </w:tc>
        <w:tc>
          <w:tcPr>
            <w:tcW w:w="4678" w:type="dxa"/>
            <w:vMerge w:val="restart"/>
          </w:tcPr>
          <w:p w:rsidR="003F4542" w:rsidRDefault="003F4542" w:rsidP="00BB544B">
            <w:pPr>
              <w:rPr>
                <w:rFonts w:ascii="Calibri" w:eastAsia="Calibri" w:hAnsi="Calibri" w:cs="Times New Roman"/>
              </w:rPr>
            </w:pPr>
            <w:r>
              <w:rPr>
                <w:noProof/>
                <w:lang w:eastAsia="en-GB"/>
              </w:rPr>
              <w:drawing>
                <wp:anchor distT="0" distB="0" distL="114300" distR="114300" simplePos="0" relativeHeight="251660288" behindDoc="0" locked="0" layoutInCell="1" allowOverlap="1" wp14:anchorId="79CFD040" wp14:editId="347528F4">
                  <wp:simplePos x="0" y="0"/>
                  <wp:positionH relativeFrom="column">
                    <wp:posOffset>69850</wp:posOffset>
                  </wp:positionH>
                  <wp:positionV relativeFrom="paragraph">
                    <wp:posOffset>1694180</wp:posOffset>
                  </wp:positionV>
                  <wp:extent cx="1524000" cy="11156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115695"/>
                          </a:xfrm>
                          <a:prstGeom prst="rect">
                            <a:avLst/>
                          </a:prstGeom>
                          <a:noFill/>
                        </pic:spPr>
                      </pic:pic>
                    </a:graphicData>
                  </a:graphic>
                </wp:anchor>
              </w:drawing>
            </w:r>
            <w:r w:rsidR="009C3A53" w:rsidRPr="00037AC3">
              <w:rPr>
                <w:noProof/>
                <w:sz w:val="21"/>
                <w:szCs w:val="21"/>
                <w:lang w:eastAsia="en-GB"/>
              </w:rPr>
              <mc:AlternateContent>
                <mc:Choice Requires="wps">
                  <w:drawing>
                    <wp:anchor distT="45720" distB="45720" distL="114300" distR="114300" simplePos="0" relativeHeight="251659264" behindDoc="0" locked="0" layoutInCell="1" allowOverlap="1" wp14:anchorId="01BBC017" wp14:editId="1AC4DCD8">
                      <wp:simplePos x="0" y="0"/>
                      <wp:positionH relativeFrom="column">
                        <wp:posOffset>1301115</wp:posOffset>
                      </wp:positionH>
                      <wp:positionV relativeFrom="paragraph">
                        <wp:posOffset>1525905</wp:posOffset>
                      </wp:positionV>
                      <wp:extent cx="1492250" cy="476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476250"/>
                              </a:xfrm>
                              <a:prstGeom prst="rect">
                                <a:avLst/>
                              </a:prstGeom>
                              <a:solidFill>
                                <a:srgbClr val="FFFFFF"/>
                              </a:solidFill>
                              <a:ln w="9525">
                                <a:noFill/>
                                <a:miter lim="800000"/>
                                <a:headEnd/>
                                <a:tailEnd/>
                              </a:ln>
                            </wps:spPr>
                            <wps:txbx>
                              <w:txbxContent>
                                <w:p w:rsidR="009C3A53" w:rsidRDefault="009C3A53" w:rsidP="009C3A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BC017" id="_x0000_t202" coordsize="21600,21600" o:spt="202" path="m,l,21600r21600,l21600,xe">
                      <v:stroke joinstyle="miter"/>
                      <v:path gradientshapeok="t" o:connecttype="rect"/>
                    </v:shapetype>
                    <v:shape id="Text Box 2" o:spid="_x0000_s1026" type="#_x0000_t202" style="position:absolute;margin-left:102.45pt;margin-top:120.15pt;width:117.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" stroked="f">
                      <v:textbox>
                        <w:txbxContent>
                          <w:p w:rsidR="009C3A53" w:rsidRDefault="009C3A53" w:rsidP="009C3A53"/>
                        </w:txbxContent>
                      </v:textbox>
                      <w10:wrap type="square"/>
                    </v:shape>
                  </w:pict>
                </mc:Fallback>
              </mc:AlternateContent>
            </w:r>
            <w:r w:rsidR="00BB544B">
              <w:rPr>
                <w:noProof/>
                <w:lang w:eastAsia="en-GB"/>
              </w:rPr>
              <w:drawing>
                <wp:inline distT="0" distB="0" distL="0" distR="0" wp14:anchorId="0D58FD93" wp14:editId="2A04B63D">
                  <wp:extent cx="1487805" cy="1414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805" cy="1414145"/>
                          </a:xfrm>
                          <a:prstGeom prst="rect">
                            <a:avLst/>
                          </a:prstGeom>
                          <a:noFill/>
                        </pic:spPr>
                      </pic:pic>
                    </a:graphicData>
                  </a:graphic>
                </wp:inline>
              </w:drawing>
            </w:r>
          </w:p>
          <w:p w:rsidR="003F4542" w:rsidRDefault="003F4542" w:rsidP="00BB544B">
            <w:pPr>
              <w:rPr>
                <w:rFonts w:ascii="Calibri" w:eastAsia="Calibri" w:hAnsi="Calibri" w:cs="Times New Roman"/>
              </w:rPr>
            </w:pPr>
          </w:p>
          <w:p w:rsidR="003F4542" w:rsidRPr="003F4542" w:rsidRDefault="003F4542" w:rsidP="003F4542">
            <w:pPr>
              <w:rPr>
                <w:rFonts w:ascii="Calibri" w:eastAsia="Calibri" w:hAnsi="Calibri" w:cs="Times New Roman"/>
              </w:rPr>
            </w:pPr>
          </w:p>
          <w:p w:rsidR="003F4542" w:rsidRPr="003F4542" w:rsidRDefault="003F4542" w:rsidP="003F4542">
            <w:pPr>
              <w:rPr>
                <w:rFonts w:ascii="Calibri" w:eastAsia="Calibri" w:hAnsi="Calibri" w:cs="Times New Roman"/>
              </w:rPr>
            </w:pPr>
          </w:p>
          <w:p w:rsidR="003F4542" w:rsidRDefault="003F4542" w:rsidP="003F4542">
            <w:pPr>
              <w:tabs>
                <w:tab w:val="left" w:pos="900"/>
              </w:tabs>
              <w:rPr>
                <w:rFonts w:ascii="Calibri" w:eastAsia="Calibri" w:hAnsi="Calibri" w:cs="Times New Roman"/>
              </w:rPr>
            </w:pPr>
          </w:p>
          <w:p w:rsidR="009C3A53" w:rsidRPr="003F4542" w:rsidRDefault="003F4542" w:rsidP="003F4542">
            <w:pPr>
              <w:tabs>
                <w:tab w:val="left" w:pos="900"/>
              </w:tabs>
              <w:rPr>
                <w:rFonts w:ascii="Calibri" w:eastAsia="Calibri" w:hAnsi="Calibri" w:cs="Times New Roman"/>
              </w:rPr>
            </w:pPr>
            <w:r w:rsidRPr="00BB544B">
              <w:rPr>
                <w:rFonts w:ascii="Calibri" w:eastAsia="Calibri" w:hAnsi="Calibri" w:cs="Times New Roman"/>
              </w:rPr>
              <w:t>Noah and the Ark</w:t>
            </w:r>
          </w:p>
        </w:tc>
      </w:tr>
      <w:tr w:rsidR="009C3A53" w:rsidRPr="008D66BB" w:rsidTr="00A67816">
        <w:tc>
          <w:tcPr>
            <w:tcW w:w="6062" w:type="dxa"/>
          </w:tcPr>
          <w:p w:rsidR="009C3A53" w:rsidRPr="009670D4" w:rsidRDefault="009C3A53" w:rsidP="00A67816">
            <w:pPr>
              <w:pStyle w:val="ListParagraph"/>
              <w:numPr>
                <w:ilvl w:val="0"/>
                <w:numId w:val="3"/>
              </w:numPr>
              <w:spacing w:after="0" w:line="240" w:lineRule="auto"/>
              <w:rPr>
                <w:b/>
                <w:sz w:val="21"/>
                <w:szCs w:val="21"/>
              </w:rPr>
            </w:pPr>
            <w:r w:rsidRPr="009670D4">
              <w:rPr>
                <w:b/>
                <w:sz w:val="21"/>
                <w:szCs w:val="21"/>
              </w:rPr>
              <w:t>Search for personal meaning</w:t>
            </w:r>
          </w:p>
          <w:p w:rsidR="009C3A53" w:rsidRPr="00544533" w:rsidRDefault="009C3A53" w:rsidP="009C3A53">
            <w:pPr>
              <w:pStyle w:val="ListParagraph"/>
              <w:numPr>
                <w:ilvl w:val="0"/>
                <w:numId w:val="5"/>
              </w:numPr>
              <w:spacing w:after="0" w:line="240" w:lineRule="auto"/>
              <w:rPr>
                <w:sz w:val="21"/>
                <w:szCs w:val="21"/>
              </w:rPr>
            </w:pPr>
            <w:r w:rsidRPr="009C3A53">
              <w:rPr>
                <w:sz w:val="21"/>
                <w:szCs w:val="21"/>
              </w:rPr>
              <w:t>Ask questions (about the importance of trust and who they can trust/rely on in their own lives)</w:t>
            </w:r>
          </w:p>
        </w:tc>
        <w:tc>
          <w:tcPr>
            <w:tcW w:w="4678" w:type="dxa"/>
            <w:vMerge/>
          </w:tcPr>
          <w:p w:rsidR="009C3A53" w:rsidRPr="008D66BB" w:rsidRDefault="009C3A53" w:rsidP="00A67816">
            <w:pPr>
              <w:rPr>
                <w:sz w:val="21"/>
                <w:szCs w:val="21"/>
              </w:rPr>
            </w:pPr>
          </w:p>
        </w:tc>
      </w:tr>
      <w:tr w:rsidR="009C3A53" w:rsidRPr="008D66BB" w:rsidTr="00A67816">
        <w:tc>
          <w:tcPr>
            <w:tcW w:w="6062" w:type="dxa"/>
          </w:tcPr>
          <w:p w:rsidR="009C3A53" w:rsidRDefault="009C3A53" w:rsidP="00A67816">
            <w:pPr>
              <w:rPr>
                <w:sz w:val="21"/>
                <w:szCs w:val="21"/>
              </w:rPr>
            </w:pPr>
            <w:r>
              <w:rPr>
                <w:sz w:val="21"/>
                <w:szCs w:val="21"/>
              </w:rPr>
              <w:t>Warrington Links :</w:t>
            </w:r>
          </w:p>
          <w:p w:rsidR="009C3A53" w:rsidRPr="00AC5B82" w:rsidRDefault="009C3A53" w:rsidP="00A67816">
            <w:pPr>
              <w:rPr>
                <w:sz w:val="21"/>
                <w:szCs w:val="21"/>
              </w:rPr>
            </w:pPr>
            <w:hyperlink r:id="rId7" w:history="1">
              <w:r w:rsidRPr="00123957">
                <w:rPr>
                  <w:rStyle w:val="Hyperlink"/>
                  <w:sz w:val="21"/>
                  <w:szCs w:val="21"/>
                </w:rPr>
                <w:t>http://southmanchestersynagogue.org.uk</w:t>
              </w:r>
            </w:hyperlink>
          </w:p>
        </w:tc>
        <w:tc>
          <w:tcPr>
            <w:tcW w:w="4678" w:type="dxa"/>
            <w:vMerge/>
          </w:tcPr>
          <w:p w:rsidR="009C3A53" w:rsidRPr="008D66BB" w:rsidRDefault="009C3A53" w:rsidP="00A67816">
            <w:pPr>
              <w:rPr>
                <w:sz w:val="21"/>
                <w:szCs w:val="21"/>
              </w:rPr>
            </w:pPr>
          </w:p>
        </w:tc>
      </w:tr>
      <w:tr w:rsidR="009C3A53" w:rsidRPr="008D66BB" w:rsidTr="00A67816">
        <w:tc>
          <w:tcPr>
            <w:tcW w:w="6062" w:type="dxa"/>
          </w:tcPr>
          <w:p w:rsidR="009C3A53" w:rsidRDefault="009C3A53" w:rsidP="00A67816">
            <w:pPr>
              <w:rPr>
                <w:sz w:val="21"/>
                <w:szCs w:val="21"/>
              </w:rPr>
            </w:pPr>
            <w:r>
              <w:rPr>
                <w:sz w:val="21"/>
                <w:szCs w:val="21"/>
              </w:rPr>
              <w:t>Texts:</w:t>
            </w:r>
          </w:p>
          <w:p w:rsidR="00BB544B" w:rsidRDefault="00BB544B" w:rsidP="00A67816">
            <w:pPr>
              <w:rPr>
                <w:sz w:val="21"/>
                <w:szCs w:val="21"/>
              </w:rPr>
            </w:pPr>
            <w:r w:rsidRPr="00BB544B">
              <w:rPr>
                <w:sz w:val="21"/>
                <w:szCs w:val="21"/>
              </w:rPr>
              <w:t xml:space="preserve">Watch Jumpin’ Jerusalem- Sukkot </w:t>
            </w:r>
            <w:hyperlink r:id="rId8" w:history="1">
              <w:r w:rsidRPr="00123957">
                <w:rPr>
                  <w:rStyle w:val="Hyperlink"/>
                  <w:sz w:val="21"/>
                  <w:szCs w:val="21"/>
                </w:rPr>
                <w:t>https://www.youtube.com/watch?v=h_W1pGtlRsY</w:t>
              </w:r>
            </w:hyperlink>
          </w:p>
          <w:p w:rsidR="009C3A53" w:rsidRPr="00AC5B82" w:rsidRDefault="00BB544B" w:rsidP="00A67816">
            <w:pPr>
              <w:rPr>
                <w:sz w:val="21"/>
                <w:szCs w:val="21"/>
              </w:rPr>
            </w:pPr>
            <w:r w:rsidRPr="00BB544B">
              <w:rPr>
                <w:sz w:val="21"/>
                <w:szCs w:val="21"/>
              </w:rPr>
              <w:t>Read the story of Noah. If you have a toy ark/pairs of animals then the story could be acted out.</w:t>
            </w:r>
          </w:p>
        </w:tc>
        <w:tc>
          <w:tcPr>
            <w:tcW w:w="4678" w:type="dxa"/>
            <w:vMerge/>
          </w:tcPr>
          <w:p w:rsidR="009C3A53" w:rsidRPr="008D66BB" w:rsidRDefault="009C3A53" w:rsidP="00A67816">
            <w:pPr>
              <w:rPr>
                <w:sz w:val="21"/>
                <w:szCs w:val="21"/>
              </w:rPr>
            </w:pPr>
          </w:p>
        </w:tc>
      </w:tr>
      <w:tr w:rsidR="009C3A53" w:rsidRPr="008D66BB" w:rsidTr="00A67816">
        <w:trPr>
          <w:trHeight w:val="1570"/>
        </w:trPr>
        <w:tc>
          <w:tcPr>
            <w:tcW w:w="6062" w:type="dxa"/>
          </w:tcPr>
          <w:p w:rsidR="00BB544B" w:rsidRPr="003F4542" w:rsidRDefault="009C3A53" w:rsidP="003F4542">
            <w:pPr>
              <w:rPr>
                <w:sz w:val="21"/>
                <w:szCs w:val="21"/>
              </w:rPr>
            </w:pPr>
            <w:r>
              <w:rPr>
                <w:sz w:val="21"/>
                <w:szCs w:val="21"/>
              </w:rPr>
              <w:lastRenderedPageBreak/>
              <w:t>Enrichment:</w:t>
            </w:r>
            <w:r w:rsidR="00BB544B">
              <w:rPr>
                <w:sz w:val="21"/>
                <w:szCs w:val="21"/>
              </w:rPr>
              <w:t xml:space="preserve"> </w:t>
            </w:r>
            <w:r w:rsidR="00BB544B" w:rsidRPr="00BB544B">
              <w:rPr>
                <w:sz w:val="21"/>
                <w:szCs w:val="21"/>
              </w:rPr>
              <w:t>Visit a local synagogue</w:t>
            </w:r>
            <w:bookmarkStart w:id="0" w:name="_GoBack"/>
            <w:bookmarkEnd w:id="0"/>
          </w:p>
        </w:tc>
        <w:tc>
          <w:tcPr>
            <w:tcW w:w="4678" w:type="dxa"/>
            <w:vMerge/>
          </w:tcPr>
          <w:p w:rsidR="009C3A53" w:rsidRPr="008D66BB" w:rsidRDefault="009C3A53" w:rsidP="00A67816">
            <w:pPr>
              <w:rPr>
                <w:sz w:val="21"/>
                <w:szCs w:val="21"/>
              </w:rPr>
            </w:pPr>
          </w:p>
        </w:tc>
      </w:tr>
    </w:tbl>
    <w:p w:rsidR="009C3A53" w:rsidRDefault="009C3A53" w:rsidP="009C3A53"/>
    <w:p w:rsidR="009C3A53" w:rsidRDefault="009C3A53" w:rsidP="009C3A53"/>
    <w:p w:rsidR="009C3A53" w:rsidRDefault="009C3A53" w:rsidP="009C3A53"/>
    <w:p w:rsidR="008E36C1" w:rsidRDefault="003F4542"/>
    <w:sectPr w:rsidR="008E36C1" w:rsidSect="000828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D93"/>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FA4052"/>
    <w:multiLevelType w:val="hybridMultilevel"/>
    <w:tmpl w:val="96F4B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03EC8"/>
    <w:multiLevelType w:val="hybridMultilevel"/>
    <w:tmpl w:val="22F0C57C"/>
    <w:lvl w:ilvl="0" w:tplc="A7C2547C">
      <w:start w:val="1"/>
      <w:numFmt w:val="lowerLetter"/>
      <w:lvlText w:val="%1)"/>
      <w:lvlJc w:val="left"/>
      <w:pPr>
        <w:ind w:left="770" w:hanging="339"/>
      </w:pPr>
      <w:rPr>
        <w:rFonts w:ascii="Calibri" w:eastAsia="Calibri" w:hAnsi="Calibri" w:cs="Calibri"/>
        <w:w w:val="102"/>
        <w:sz w:val="22"/>
        <w:szCs w:val="22"/>
      </w:rPr>
    </w:lvl>
    <w:lvl w:ilvl="1" w:tplc="8A9890B8">
      <w:numFmt w:val="bullet"/>
      <w:lvlText w:val="•"/>
      <w:lvlJc w:val="left"/>
      <w:pPr>
        <w:ind w:left="1572" w:hanging="339"/>
      </w:pPr>
      <w:rPr>
        <w:rFonts w:hint="default"/>
      </w:rPr>
    </w:lvl>
    <w:lvl w:ilvl="2" w:tplc="55C4BD14">
      <w:numFmt w:val="bullet"/>
      <w:lvlText w:val="•"/>
      <w:lvlJc w:val="left"/>
      <w:pPr>
        <w:ind w:left="2364" w:hanging="339"/>
      </w:pPr>
      <w:rPr>
        <w:rFonts w:hint="default"/>
      </w:rPr>
    </w:lvl>
    <w:lvl w:ilvl="3" w:tplc="3FF639A8">
      <w:numFmt w:val="bullet"/>
      <w:lvlText w:val="•"/>
      <w:lvlJc w:val="left"/>
      <w:pPr>
        <w:ind w:left="3157" w:hanging="339"/>
      </w:pPr>
      <w:rPr>
        <w:rFonts w:hint="default"/>
      </w:rPr>
    </w:lvl>
    <w:lvl w:ilvl="4" w:tplc="58CCEE1E">
      <w:numFmt w:val="bullet"/>
      <w:lvlText w:val="•"/>
      <w:lvlJc w:val="left"/>
      <w:pPr>
        <w:ind w:left="3949" w:hanging="339"/>
      </w:pPr>
      <w:rPr>
        <w:rFonts w:hint="default"/>
      </w:rPr>
    </w:lvl>
    <w:lvl w:ilvl="5" w:tplc="8298A614">
      <w:numFmt w:val="bullet"/>
      <w:lvlText w:val="•"/>
      <w:lvlJc w:val="left"/>
      <w:pPr>
        <w:ind w:left="4742" w:hanging="339"/>
      </w:pPr>
      <w:rPr>
        <w:rFonts w:hint="default"/>
      </w:rPr>
    </w:lvl>
    <w:lvl w:ilvl="6" w:tplc="00EE21F8">
      <w:numFmt w:val="bullet"/>
      <w:lvlText w:val="•"/>
      <w:lvlJc w:val="left"/>
      <w:pPr>
        <w:ind w:left="5534" w:hanging="339"/>
      </w:pPr>
      <w:rPr>
        <w:rFonts w:hint="default"/>
      </w:rPr>
    </w:lvl>
    <w:lvl w:ilvl="7" w:tplc="AF42F890">
      <w:numFmt w:val="bullet"/>
      <w:lvlText w:val="•"/>
      <w:lvlJc w:val="left"/>
      <w:pPr>
        <w:ind w:left="6327" w:hanging="339"/>
      </w:pPr>
      <w:rPr>
        <w:rFonts w:hint="default"/>
      </w:rPr>
    </w:lvl>
    <w:lvl w:ilvl="8" w:tplc="2D963CD0">
      <w:numFmt w:val="bullet"/>
      <w:lvlText w:val="•"/>
      <w:lvlJc w:val="left"/>
      <w:pPr>
        <w:ind w:left="7119" w:hanging="339"/>
      </w:pPr>
      <w:rPr>
        <w:rFonts w:hint="default"/>
      </w:rPr>
    </w:lvl>
  </w:abstractNum>
  <w:abstractNum w:abstractNumId="3" w15:restartNumberingAfterBreak="0">
    <w:nsid w:val="4CE41A00"/>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485E96"/>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192FD0"/>
    <w:multiLevelType w:val="hybridMultilevel"/>
    <w:tmpl w:val="D520D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1C506C"/>
    <w:multiLevelType w:val="hybridMultilevel"/>
    <w:tmpl w:val="98127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53"/>
    <w:rsid w:val="003F4542"/>
    <w:rsid w:val="006C0F0D"/>
    <w:rsid w:val="00774A4A"/>
    <w:rsid w:val="009C3A53"/>
    <w:rsid w:val="00BB5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FFA5"/>
  <w15:chartTrackingRefBased/>
  <w15:docId w15:val="{DCDFD602-BC15-403B-8151-71E1E793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A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A53"/>
    <w:pPr>
      <w:ind w:left="720"/>
      <w:contextualSpacing/>
    </w:pPr>
  </w:style>
  <w:style w:type="character" w:styleId="Hyperlink">
    <w:name w:val="Hyperlink"/>
    <w:basedOn w:val="DefaultParagraphFont"/>
    <w:uiPriority w:val="99"/>
    <w:unhideWhenUsed/>
    <w:rsid w:val="009C3A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_W1pGtlRsY" TargetMode="External"/><Relationship Id="rId3" Type="http://schemas.openxmlformats.org/officeDocument/2006/relationships/settings" Target="settings.xml"/><Relationship Id="rId7" Type="http://schemas.openxmlformats.org/officeDocument/2006/relationships/hyperlink" Target="http://southmanchestersynagogu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Nicholson</dc:creator>
  <cp:keywords/>
  <dc:description/>
  <cp:lastModifiedBy>Hayley Nicholson</cp:lastModifiedBy>
  <cp:revision>1</cp:revision>
  <dcterms:created xsi:type="dcterms:W3CDTF">2021-09-02T13:22:00Z</dcterms:created>
  <dcterms:modified xsi:type="dcterms:W3CDTF">2021-09-02T13:54:00Z</dcterms:modified>
</cp:coreProperties>
</file>