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F" w:rsidRDefault="002C39F3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Year 6 Religious Education and World Views – Is life like a journey?</w:t>
      </w:r>
    </w:p>
    <w:p w:rsidR="006553CF" w:rsidRDefault="002C39F3">
      <w:pPr>
        <w:jc w:val="center"/>
        <w:rPr>
          <w:u w:val="single"/>
        </w:rPr>
      </w:pPr>
      <w:r>
        <w:rPr>
          <w:u w:val="single"/>
        </w:rPr>
        <w:t xml:space="preserve">Hindu Dharma: Is there one journey or many? </w:t>
      </w: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6553CF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spacing w:after="0" w:line="240" w:lineRule="auto"/>
            </w:pPr>
            <w:r>
              <w:rPr>
                <w:u w:val="single"/>
              </w:rPr>
              <w:t>Curriculum Aims:</w:t>
            </w:r>
            <w:r>
              <w:t xml:space="preserve"> A</w:t>
            </w:r>
            <w:r>
              <w:rPr>
                <w:rFonts w:cs="Arial"/>
              </w:rPr>
              <w:t>n understanding of the belief that dharma can change</w:t>
            </w:r>
            <w:r>
              <w:rPr>
                <w:rFonts w:cs="Arial"/>
              </w:rPr>
              <w:t xml:space="preserve"> during the course of life and that the religious duties of a child are seen as different to those of an adult with family responsibilities or an elderly person. </w:t>
            </w:r>
            <w:r>
              <w:t>You will be able to build in their prior learning about the concept of ‘dharma’ within Hinduis</w:t>
            </w:r>
            <w:r>
              <w:t>m. You will develop an understanding of the belief that dharma can change during the course of life and that the religious duties of a child are seen as different to those of an adult with family responsibilities or an elderly person. You will be able to e</w:t>
            </w:r>
            <w:r>
              <w:t>xplain how performing dharma would have an impact on a person’s karma – and how this then links with Hindu beliefs about the cycle of life, death and rebirth.</w:t>
            </w:r>
          </w:p>
          <w:p w:rsidR="006553CF" w:rsidRDefault="002C39F3">
            <w:pPr>
              <w:spacing w:after="0" w:line="240" w:lineRule="auto"/>
            </w:pPr>
            <w:r>
              <w:t>You will have opportunities to explore Hindu beliefs about reincarnation of the soul and the ulti</w:t>
            </w:r>
            <w:r>
              <w:t>mate aim of Moksha (liberation from rebirth).</w:t>
            </w:r>
          </w:p>
        </w:tc>
      </w:tr>
      <w:tr w:rsidR="006553C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spacing w:after="0" w:line="240" w:lineRule="auto"/>
            </w:pPr>
            <w:r>
              <w:rPr>
                <w:u w:val="single"/>
              </w:rPr>
              <w:t>Prior Learning:</w:t>
            </w:r>
            <w:r>
              <w:t xml:space="preserve"> To understand the way a Hindu may live based on their beliefs on reincarnation. </w:t>
            </w:r>
          </w:p>
          <w:p w:rsidR="006553CF" w:rsidRDefault="006553CF">
            <w:pPr>
              <w:spacing w:after="0" w:line="240" w:lineRule="auto"/>
            </w:pPr>
          </w:p>
        </w:tc>
      </w:tr>
    </w:tbl>
    <w:p w:rsidR="006553CF" w:rsidRDefault="006553CF">
      <w:pPr>
        <w:jc w:val="center"/>
        <w:rPr>
          <w:u w:val="single"/>
        </w:rPr>
      </w:pPr>
    </w:p>
    <w:tbl>
      <w:tblPr>
        <w:tblW w:w="9589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0"/>
        <w:gridCol w:w="4613"/>
        <w:gridCol w:w="26"/>
      </w:tblGrid>
      <w:tr w:rsidR="006553C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spacing w:after="0" w:line="240" w:lineRule="auto"/>
            </w:pPr>
            <w:r>
              <w:t>Facts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spacing w:after="0" w:line="240" w:lineRule="auto"/>
            </w:pPr>
            <w:r>
              <w:t>Vocabulary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3CF" w:rsidRDefault="006553CF">
            <w:pPr>
              <w:spacing w:after="0" w:line="240" w:lineRule="auto"/>
            </w:pPr>
          </w:p>
        </w:tc>
      </w:tr>
      <w:tr w:rsidR="006553C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Beliefs &amp; Values </w:t>
            </w:r>
          </w:p>
          <w:p w:rsidR="006553CF" w:rsidRDefault="002C39F3">
            <w:pPr>
              <w:pStyle w:val="ListParagraph"/>
              <w:numPr>
                <w:ilvl w:val="0"/>
                <w:numId w:val="2"/>
              </w:numPr>
              <w:spacing w:after="0"/>
              <w:ind w:left="318"/>
            </w:pPr>
            <w:r>
              <w:t xml:space="preserve">Hindu beliefs about the cycle of samsara – the view that the soul (the </w:t>
            </w:r>
            <w:r>
              <w:t>atman) is in a continuous flow of life, death and rebirth – with an eventual aim of reaching Moksha (freedom from samsara).</w:t>
            </w:r>
          </w:p>
          <w:p w:rsidR="006553CF" w:rsidRDefault="002C3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/>
            </w:pPr>
            <w:r>
              <w:t xml:space="preserve">Reincarnation is a major belief in the Hindu religion. Hindu’s believe that death does not necessarily mean the end. </w:t>
            </w:r>
          </w:p>
          <w:p w:rsidR="006553CF" w:rsidRDefault="002C3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/>
            </w:pPr>
            <w:r>
              <w:t>Law of karma a</w:t>
            </w:r>
            <w:r>
              <w:t>nd the process of samsara might affect a Hindu’s sense of purpose in life.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spacing w:after="0" w:line="240" w:lineRule="auto"/>
            </w:pPr>
            <w:r>
              <w:t>Reincarnation – the rebirth of a soul in another body.</w:t>
            </w:r>
          </w:p>
          <w:p w:rsidR="006553CF" w:rsidRDefault="006553CF">
            <w:pPr>
              <w:spacing w:after="0" w:line="240" w:lineRule="auto"/>
            </w:pPr>
          </w:p>
          <w:p w:rsidR="006553CF" w:rsidRDefault="002C39F3">
            <w:pPr>
              <w:spacing w:after="0" w:line="240" w:lineRule="auto"/>
            </w:pPr>
            <w:r>
              <w:t xml:space="preserve">Samsara – the cycle of death and rebirth to which life in the world is bound. </w:t>
            </w:r>
          </w:p>
          <w:p w:rsidR="006553CF" w:rsidRDefault="006553CF">
            <w:pPr>
              <w:spacing w:after="0" w:line="240" w:lineRule="auto"/>
            </w:pPr>
          </w:p>
          <w:p w:rsidR="006553CF" w:rsidRDefault="002C39F3">
            <w:pPr>
              <w:spacing w:after="0" w:line="240" w:lineRule="auto"/>
            </w:pPr>
            <w:r>
              <w:t xml:space="preserve">Ashramas – any of the our stages of an ideal </w:t>
            </w:r>
            <w:r>
              <w:t>life, ascending from the status of pupil to the total renunciation of the world.</w:t>
            </w:r>
          </w:p>
          <w:p w:rsidR="006553CF" w:rsidRDefault="006553CF">
            <w:pPr>
              <w:spacing w:after="0" w:line="240" w:lineRule="auto"/>
            </w:pPr>
          </w:p>
          <w:p w:rsidR="006553CF" w:rsidRDefault="002C39F3">
            <w:pPr>
              <w:spacing w:after="0" w:line="240" w:lineRule="auto"/>
            </w:pPr>
            <w:r>
              <w:t>Law of Karma – the belief that every action you take will have an equal reaction. “If you plant wholesome seeds, you will grow wholesome fruit.”</w:t>
            </w:r>
          </w:p>
          <w:p w:rsidR="006553CF" w:rsidRDefault="006553CF">
            <w:pPr>
              <w:spacing w:after="0" w:line="240" w:lineRule="auto"/>
            </w:pPr>
          </w:p>
          <w:p w:rsidR="006553CF" w:rsidRDefault="006553CF">
            <w:pPr>
              <w:spacing w:after="0" w:line="240" w:lineRule="auto"/>
            </w:pPr>
          </w:p>
          <w:p w:rsidR="006553CF" w:rsidRDefault="006553CF">
            <w:pPr>
              <w:spacing w:after="0" w:line="240" w:lineRule="auto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3CF" w:rsidRDefault="006553CF">
            <w:pPr>
              <w:spacing w:after="0" w:line="240" w:lineRule="auto"/>
            </w:pPr>
          </w:p>
        </w:tc>
      </w:tr>
      <w:tr w:rsidR="006553C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Living Religious </w:t>
            </w:r>
            <w:r>
              <w:rPr>
                <w:b/>
                <w:u w:val="single"/>
              </w:rPr>
              <w:t>Traditions</w:t>
            </w:r>
          </w:p>
          <w:p w:rsidR="006553CF" w:rsidRDefault="002C39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 xml:space="preserve">Four Ashramas – these are the four stages of life according to the Hindu religion. They are: Brahmacharya (student), Grihastha (householder), Vanaprastha (retired) and Sannyasa (renunciate). </w:t>
            </w:r>
          </w:p>
          <w:p w:rsidR="006553CF" w:rsidRDefault="002C39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>16 Samskaras – these are 16 different rituals that Hi</w:t>
            </w:r>
            <w:r>
              <w:t>ndu’s believe must be completed in a lifetime.</w:t>
            </w:r>
          </w:p>
          <w:p w:rsidR="006553CF" w:rsidRDefault="002C39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rPr>
                <w:rFonts w:cs="Arial"/>
                <w:szCs w:val="20"/>
              </w:rPr>
              <w:t>The Sacred Thread ceremony (the Upanayana) which celebrates the child being seen as responsible enough to take on religious duties.</w:t>
            </w: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6553CF">
            <w:pPr>
              <w:spacing w:after="0" w:line="240" w:lineRule="auto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3CF" w:rsidRDefault="006553CF">
            <w:pPr>
              <w:spacing w:after="0" w:line="240" w:lineRule="auto"/>
            </w:pPr>
          </w:p>
        </w:tc>
      </w:tr>
      <w:tr w:rsidR="006553C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Shared Human Experiences </w:t>
            </w:r>
          </w:p>
          <w:p w:rsidR="006553CF" w:rsidRDefault="002C39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</w:pPr>
            <w:r>
              <w:t xml:space="preserve">Reflect on the special milestones that we might </w:t>
            </w:r>
            <w:r>
              <w:t>celebrate during a person’s lifetime.</w:t>
            </w:r>
          </w:p>
          <w:p w:rsidR="006553CF" w:rsidRDefault="002C39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</w:pPr>
            <w:r>
              <w:t>Reflect on how our rights, responsibilities and relationships with others might change as we go through life.</w:t>
            </w: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6553CF">
            <w:pPr>
              <w:spacing w:after="0" w:line="240" w:lineRule="auto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3CF" w:rsidRDefault="006553CF">
            <w:pPr>
              <w:spacing w:after="0" w:line="240" w:lineRule="auto"/>
            </w:pPr>
          </w:p>
        </w:tc>
      </w:tr>
      <w:tr w:rsidR="006553C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b/>
                <w:u w:val="single"/>
              </w:rPr>
            </w:pPr>
            <w:r>
              <w:rPr>
                <w:b/>
                <w:u w:val="single"/>
              </w:rPr>
              <w:t>Search for Personal Meaning</w:t>
            </w:r>
          </w:p>
          <w:p w:rsidR="006553CF" w:rsidRDefault="002C39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</w:pPr>
            <w:r>
              <w:t>Ask and respond thoughtfully to questions about their own journey of life.</w:t>
            </w:r>
          </w:p>
          <w:p w:rsidR="006553CF" w:rsidRDefault="002C39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</w:pPr>
            <w:r>
              <w:t>Consider how events and influences so far have made them the person they are today and what has been important learning to prepare them for the future.</w:t>
            </w: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6553CF">
            <w:pPr>
              <w:spacing w:after="0" w:line="240" w:lineRule="auto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3CF" w:rsidRDefault="006553CF">
            <w:pPr>
              <w:spacing w:after="0" w:line="240" w:lineRule="auto"/>
            </w:pPr>
          </w:p>
        </w:tc>
      </w:tr>
      <w:tr w:rsidR="006553CF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6553CF">
            <w:pPr>
              <w:spacing w:after="0" w:line="240" w:lineRule="auto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tabs>
                <w:tab w:val="left" w:pos="1490"/>
              </w:tabs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35561</wp:posOffset>
                  </wp:positionV>
                  <wp:extent cx="960120" cy="883923"/>
                  <wp:effectExtent l="0" t="0" r="0" b="0"/>
                  <wp:wrapNone/>
                  <wp:docPr id="1" name="Picture 2" descr="Reincarnation in Hinduism | Anthropological Perspectives on Dea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8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53CF" w:rsidRDefault="006553CF">
            <w:pPr>
              <w:tabs>
                <w:tab w:val="left" w:pos="1490"/>
              </w:tabs>
              <w:spacing w:after="0" w:line="240" w:lineRule="auto"/>
            </w:pPr>
          </w:p>
          <w:p w:rsidR="006553CF" w:rsidRDefault="006553CF">
            <w:pPr>
              <w:tabs>
                <w:tab w:val="left" w:pos="1490"/>
              </w:tabs>
              <w:spacing w:after="0" w:line="240" w:lineRule="auto"/>
              <w:jc w:val="center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3CF" w:rsidRDefault="006553CF">
            <w:pPr>
              <w:tabs>
                <w:tab w:val="left" w:pos="1490"/>
              </w:tabs>
              <w:spacing w:after="0" w:line="240" w:lineRule="auto"/>
              <w:jc w:val="center"/>
            </w:pPr>
          </w:p>
        </w:tc>
      </w:tr>
      <w:tr w:rsidR="006553C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F" w:rsidRDefault="002C39F3">
            <w:pPr>
              <w:spacing w:after="0" w:line="240" w:lineRule="auto"/>
            </w:pPr>
            <w:r>
              <w:t>Reincarnation Video:</w:t>
            </w:r>
          </w:p>
          <w:p w:rsidR="006553CF" w:rsidRDefault="002C39F3">
            <w:pPr>
              <w:spacing w:after="0" w:line="240" w:lineRule="auto"/>
            </w:pPr>
            <w:hyperlink r:id="rId8" w:history="1">
              <w:r>
                <w:rPr>
                  <w:rStyle w:val="Hyperlink"/>
                  <w:rFonts w:cs="Arial"/>
                </w:rPr>
                <w:t>https://www.youtube.com/watch?v=Uq6_HUMtQtI</w:t>
              </w:r>
            </w:hyperlink>
          </w:p>
          <w:p w:rsidR="006553CF" w:rsidRDefault="002C39F3">
            <w:pPr>
              <w:suppressAutoHyphens w:val="0"/>
              <w:spacing w:before="240" w:after="0" w:line="240" w:lineRule="auto"/>
              <w:textAlignment w:val="auto"/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Focus on the Sacred Thread ceremony (the Upanayana) which celebrates the child being seen as responsible enough to take on religious duties. </w:t>
            </w:r>
            <w:hyperlink r:id="rId9" w:history="1">
              <w:r>
                <w:rPr>
                  <w:rStyle w:val="Hyperlink"/>
                  <w:rFonts w:cs="Arial"/>
                  <w:sz w:val="20"/>
                  <w:szCs w:val="20"/>
                </w:rPr>
                <w:t>https://www.bbc.com/bitesize/clips/zmmgkqt</w:t>
              </w:r>
            </w:hyperlink>
          </w:p>
        </w:tc>
      </w:tr>
    </w:tbl>
    <w:p w:rsidR="006553CF" w:rsidRDefault="006553CF"/>
    <w:sectPr w:rsidR="006553CF">
      <w:pgSz w:w="11906" w:h="16838"/>
      <w:pgMar w:top="851" w:right="1133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F3" w:rsidRDefault="002C39F3">
      <w:pPr>
        <w:spacing w:after="0" w:line="240" w:lineRule="auto"/>
      </w:pPr>
      <w:r>
        <w:separator/>
      </w:r>
    </w:p>
  </w:endnote>
  <w:endnote w:type="continuationSeparator" w:id="0">
    <w:p w:rsidR="002C39F3" w:rsidRDefault="002C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F3" w:rsidRDefault="002C39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39F3" w:rsidRDefault="002C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A44"/>
    <w:multiLevelType w:val="multilevel"/>
    <w:tmpl w:val="B24C8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293"/>
    <w:multiLevelType w:val="multilevel"/>
    <w:tmpl w:val="D6540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3AA4"/>
    <w:multiLevelType w:val="multilevel"/>
    <w:tmpl w:val="CE60CD30"/>
    <w:lvl w:ilvl="0">
      <w:start w:val="1"/>
      <w:numFmt w:val="lowerLetter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B185339"/>
    <w:multiLevelType w:val="multilevel"/>
    <w:tmpl w:val="153AAB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347"/>
    <w:multiLevelType w:val="multilevel"/>
    <w:tmpl w:val="94E6AD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53CF"/>
    <w:rsid w:val="002C39F3"/>
    <w:rsid w:val="006553CF"/>
    <w:rsid w:val="007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5D9EF-B6B3-43A4-906E-7B76DDB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6_HUMtQ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m/bitesize/clips/zmmgkq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Kate Blundell</cp:lastModifiedBy>
  <cp:revision>2</cp:revision>
  <dcterms:created xsi:type="dcterms:W3CDTF">2022-01-15T17:23:00Z</dcterms:created>
  <dcterms:modified xsi:type="dcterms:W3CDTF">2022-01-15T17:23:00Z</dcterms:modified>
</cp:coreProperties>
</file>